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016"/>
        <w:gridCol w:w="6484"/>
      </w:tblGrid>
      <w:tr w:rsidR="0071098A" w:rsidRPr="00A602E4" w:rsidTr="002A7C13">
        <w:trPr>
          <w:trHeight w:val="209"/>
          <w:jc w:val="center"/>
        </w:trPr>
        <w:tc>
          <w:tcPr>
            <w:tcW w:w="2618" w:type="dxa"/>
            <w:gridSpan w:val="2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i/>
                <w:color w:val="000000"/>
                <w:sz w:val="18"/>
                <w:szCs w:val="18"/>
              </w:rPr>
              <w:t>Groupe Eolien de la conférence bretonne de la transition énergétique</w:t>
            </w:r>
          </w:p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  <w:p w:rsidR="0071098A" w:rsidRPr="008A0D6F" w:rsidRDefault="006C7A6F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Binôme #4</w:t>
            </w:r>
          </w:p>
        </w:tc>
        <w:tc>
          <w:tcPr>
            <w:tcW w:w="6670" w:type="dxa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« 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Acteurs clefs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/ leviers » 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auditionn</w:t>
            </w:r>
            <w:r>
              <w:rPr>
                <w:b/>
                <w:i/>
                <w:color w:val="000000"/>
                <w:sz w:val="18"/>
                <w:szCs w:val="18"/>
              </w:rPr>
              <w:t>é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Thème(s) dans le(s)quels le groupe identifie la structure comme levier : </w:t>
            </w:r>
            <w:r w:rsidR="00CE0F1A">
              <w:rPr>
                <w:b/>
                <w:i/>
                <w:color w:val="000000"/>
                <w:sz w:val="18"/>
                <w:szCs w:val="18"/>
              </w:rPr>
              <w:t>1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Nom de structure :</w:t>
            </w:r>
            <w:r w:rsidR="008B1716">
              <w:rPr>
                <w:b/>
                <w:i/>
                <w:color w:val="000000"/>
                <w:sz w:val="18"/>
                <w:szCs w:val="18"/>
              </w:rPr>
              <w:t xml:space="preserve"> Développeur 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C40021">
              <w:rPr>
                <w:b/>
                <w:i/>
                <w:color w:val="000000"/>
                <w:sz w:val="18"/>
                <w:szCs w:val="18"/>
              </w:rPr>
              <w:t>Si</w:t>
            </w:r>
            <w:r w:rsidR="006C7A6F">
              <w:rPr>
                <w:b/>
                <w:i/>
                <w:color w:val="000000"/>
                <w:sz w:val="18"/>
                <w:szCs w:val="18"/>
              </w:rPr>
              <w:t>te a watt</w:t>
            </w:r>
          </w:p>
          <w:p w:rsidR="006A3AE9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Nom(s) des (de la) personne(s) : </w:t>
            </w:r>
            <w:r w:rsidR="008B1716">
              <w:rPr>
                <w:b/>
                <w:i/>
                <w:color w:val="000000"/>
                <w:sz w:val="18"/>
                <w:szCs w:val="18"/>
              </w:rPr>
              <w:t>Pierre Jourdain</w:t>
            </w:r>
          </w:p>
          <w:p w:rsidR="0071098A" w:rsidRPr="008A0D6F" w:rsidRDefault="0071098A" w:rsidP="008B171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Fonction au sein de la </w:t>
            </w:r>
            <w:r w:rsidR="006A3AE9">
              <w:rPr>
                <w:b/>
                <w:i/>
                <w:color w:val="000000"/>
                <w:sz w:val="18"/>
                <w:szCs w:val="18"/>
              </w:rPr>
              <w:t>s</w:t>
            </w:r>
            <w:r w:rsidR="00A4051D">
              <w:rPr>
                <w:b/>
                <w:i/>
                <w:color w:val="000000"/>
                <w:sz w:val="18"/>
                <w:szCs w:val="18"/>
              </w:rPr>
              <w:t>tructure : Date  14 07/</w:t>
            </w:r>
            <w:r>
              <w:rPr>
                <w:b/>
                <w:i/>
                <w:color w:val="000000"/>
                <w:sz w:val="18"/>
                <w:szCs w:val="18"/>
              </w:rPr>
              <w:t>/ 2017</w:t>
            </w:r>
          </w:p>
        </w:tc>
      </w:tr>
      <w:tr w:rsidR="0071098A" w:rsidRPr="006C7A6F" w:rsidTr="002A7C13">
        <w:trPr>
          <w:jc w:val="center"/>
        </w:trPr>
        <w:tc>
          <w:tcPr>
            <w:tcW w:w="9288" w:type="dxa"/>
            <w:gridSpan w:val="3"/>
            <w:shd w:val="clear" w:color="auto" w:fill="F2F2F2" w:themeFill="background1" w:themeFillShade="F2"/>
            <w:vAlign w:val="center"/>
          </w:tcPr>
          <w:p w:rsidR="0071098A" w:rsidRPr="0071098A" w:rsidRDefault="0071098A" w:rsidP="002D5375">
            <w:pPr>
              <w:pStyle w:val="WW-Standard"/>
              <w:spacing w:line="264" w:lineRule="auto"/>
              <w:ind w:left="169"/>
              <w:rPr>
                <w:sz w:val="17"/>
                <w:szCs w:val="17"/>
              </w:rPr>
            </w:pPr>
            <w:r w:rsidRPr="0071098A">
              <w:rPr>
                <w:b/>
                <w:color w:val="000000"/>
                <w:sz w:val="17"/>
                <w:szCs w:val="17"/>
              </w:rPr>
              <w:t>Questions générales transversales pour valider et/ou compléter la mise à jour du contexte (freins/leviers)</w:t>
            </w:r>
          </w:p>
        </w:tc>
      </w:tr>
      <w:tr w:rsidR="0071098A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Q1</w:t>
            </w:r>
          </w:p>
        </w:tc>
        <w:tc>
          <w:tcPr>
            <w:tcW w:w="872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</w:p>
          <w:p w:rsidR="0092664C" w:rsidRDefault="00CE0F1A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Quels sont selon vous les freins que vous pouvez identifier au développement de l’éolien en Bretagne ? Les leviers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A4051D" w:rsidRPr="00C87D7A" w:rsidRDefault="00A4051D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C87D7A">
              <w:rPr>
                <w:color w:val="FF0000"/>
                <w:sz w:val="18"/>
                <w:szCs w:val="18"/>
              </w:rPr>
              <w:t>1) technique : espace potentiel  limité</w:t>
            </w:r>
          </w:p>
          <w:p w:rsidR="00A4051D" w:rsidRPr="00C87D7A" w:rsidRDefault="00A4051D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C87D7A">
              <w:rPr>
                <w:color w:val="FF0000"/>
                <w:sz w:val="18"/>
                <w:szCs w:val="18"/>
              </w:rPr>
              <w:t xml:space="preserve">                                    contraintes militaires importantes</w:t>
            </w:r>
          </w:p>
          <w:p w:rsidR="00A4051D" w:rsidRPr="00C87D7A" w:rsidRDefault="00A4051D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</w:p>
          <w:p w:rsidR="00A4051D" w:rsidRPr="00C87D7A" w:rsidRDefault="00A4051D" w:rsidP="00A4051D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color w:val="FF0000"/>
                <w:sz w:val="18"/>
                <w:szCs w:val="18"/>
              </w:rPr>
            </w:pPr>
            <w:r w:rsidRPr="00C87D7A">
              <w:rPr>
                <w:color w:val="FF0000"/>
                <w:sz w:val="18"/>
                <w:szCs w:val="18"/>
              </w:rPr>
              <w:t>Engager</w:t>
            </w:r>
            <w:r w:rsidR="00C87D7A">
              <w:rPr>
                <w:color w:val="FF0000"/>
                <w:sz w:val="18"/>
                <w:szCs w:val="18"/>
              </w:rPr>
              <w:t xml:space="preserve"> la </w:t>
            </w:r>
            <w:r w:rsidRPr="00C87D7A">
              <w:rPr>
                <w:color w:val="FF0000"/>
                <w:sz w:val="18"/>
                <w:szCs w:val="18"/>
              </w:rPr>
              <w:t xml:space="preserve"> concertation</w:t>
            </w:r>
            <w:r w:rsidR="00C87D7A">
              <w:rPr>
                <w:color w:val="FF0000"/>
                <w:sz w:val="18"/>
                <w:szCs w:val="18"/>
              </w:rPr>
              <w:t xml:space="preserve"> avec services concernés</w:t>
            </w:r>
          </w:p>
          <w:p w:rsidR="00A4051D" w:rsidRPr="00C87D7A" w:rsidRDefault="00A4051D" w:rsidP="00A4051D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C87D7A">
              <w:rPr>
                <w:color w:val="FF0000"/>
                <w:sz w:val="18"/>
                <w:szCs w:val="18"/>
              </w:rPr>
              <w:t xml:space="preserve">2) Opposition : Comparée à d’autres régions opposition n’est pas trop </w:t>
            </w:r>
            <w:proofErr w:type="spellStart"/>
            <w:r w:rsidRPr="00C87D7A">
              <w:rPr>
                <w:color w:val="FF0000"/>
                <w:sz w:val="18"/>
                <w:szCs w:val="18"/>
              </w:rPr>
              <w:t>forte</w:t>
            </w:r>
            <w:proofErr w:type="gramStart"/>
            <w:r w:rsidRPr="00C87D7A">
              <w:rPr>
                <w:color w:val="FF0000"/>
                <w:sz w:val="18"/>
                <w:szCs w:val="18"/>
              </w:rPr>
              <w:t>,mais</w:t>
            </w:r>
            <w:proofErr w:type="spellEnd"/>
            <w:proofErr w:type="gramEnd"/>
            <w:r w:rsidRPr="00C87D7A">
              <w:rPr>
                <w:color w:val="FF0000"/>
                <w:sz w:val="18"/>
                <w:szCs w:val="18"/>
              </w:rPr>
              <w:t xml:space="preserve"> s</w:t>
            </w:r>
            <w:r w:rsidR="00C87D7A">
              <w:rPr>
                <w:color w:val="FF0000"/>
                <w:sz w:val="18"/>
                <w:szCs w:val="18"/>
              </w:rPr>
              <w:t>e durcit</w:t>
            </w:r>
          </w:p>
          <w:p w:rsidR="00A4051D" w:rsidRPr="00C87D7A" w:rsidRDefault="00A4051D" w:rsidP="00A4051D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C87D7A">
              <w:rPr>
                <w:color w:val="FF0000"/>
                <w:sz w:val="18"/>
                <w:szCs w:val="18"/>
              </w:rPr>
              <w:t xml:space="preserve">                         Début d’effet de saturation</w:t>
            </w:r>
          </w:p>
          <w:p w:rsidR="00A4051D" w:rsidRDefault="00A4051D" w:rsidP="00A4051D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A4051D" w:rsidRPr="00C87D7A" w:rsidRDefault="00A4051D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C87D7A">
              <w:rPr>
                <w:color w:val="FF0000"/>
                <w:sz w:val="18"/>
                <w:szCs w:val="18"/>
              </w:rPr>
              <w:t xml:space="preserve">3) </w:t>
            </w:r>
            <w:proofErr w:type="spellStart"/>
            <w:r w:rsidRPr="00C87D7A">
              <w:rPr>
                <w:color w:val="FF0000"/>
                <w:sz w:val="18"/>
                <w:szCs w:val="18"/>
              </w:rPr>
              <w:t>Repowering</w:t>
            </w:r>
            <w:proofErr w:type="spellEnd"/>
            <w:r w:rsidRPr="00C87D7A">
              <w:rPr>
                <w:color w:val="FF0000"/>
                <w:sz w:val="18"/>
                <w:szCs w:val="18"/>
              </w:rPr>
              <w:t xml:space="preserve"> : Incertitude sur la méthode. Les parcs anciens ont été construits sous des règles </w:t>
            </w:r>
          </w:p>
          <w:p w:rsidR="00A4051D" w:rsidRPr="00C87D7A" w:rsidRDefault="00A4051D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C87D7A">
              <w:rPr>
                <w:color w:val="FF0000"/>
                <w:sz w:val="18"/>
                <w:szCs w:val="18"/>
              </w:rPr>
              <w:t xml:space="preserve">                           très différentes de celles d’aujourd’hui. Changement de gabarit difficile, modèle de       machines petites puissances peu disponibles </w:t>
            </w:r>
          </w:p>
          <w:p w:rsidR="00A4051D" w:rsidRPr="00C87D7A" w:rsidRDefault="00A4051D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C87D7A">
              <w:rPr>
                <w:color w:val="FF0000"/>
                <w:sz w:val="18"/>
                <w:szCs w:val="18"/>
              </w:rPr>
              <w:t xml:space="preserve">Déclassement de certaines habitations peut aider à élargir des zones, mais </w:t>
            </w:r>
            <w:r w:rsidR="007472CD" w:rsidRPr="00C87D7A">
              <w:rPr>
                <w:color w:val="FF0000"/>
                <w:sz w:val="18"/>
                <w:szCs w:val="18"/>
              </w:rPr>
              <w:t xml:space="preserve">ne peut pas </w:t>
            </w:r>
            <w:r w:rsidR="00C87D7A" w:rsidRPr="00C87D7A">
              <w:rPr>
                <w:color w:val="FF0000"/>
                <w:sz w:val="18"/>
                <w:szCs w:val="18"/>
              </w:rPr>
              <w:t>être</w:t>
            </w:r>
            <w:r w:rsidR="007472CD" w:rsidRPr="00C87D7A">
              <w:rPr>
                <w:color w:val="FF0000"/>
                <w:sz w:val="18"/>
                <w:szCs w:val="18"/>
              </w:rPr>
              <w:t xml:space="preserve"> systématisé</w:t>
            </w:r>
          </w:p>
          <w:p w:rsidR="007472CD" w:rsidRDefault="007472CD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</w:p>
          <w:p w:rsidR="00C87D7A" w:rsidRPr="00C87D7A" w:rsidRDefault="00C87D7A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Faire un état comparatif entre règles passées et actuelles et recherche compatibilité technique, règlementaire, environnementales.</w:t>
            </w:r>
          </w:p>
          <w:p w:rsidR="007472CD" w:rsidRPr="00C87D7A" w:rsidRDefault="007472CD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C87D7A">
              <w:rPr>
                <w:color w:val="FF0000"/>
                <w:sz w:val="18"/>
                <w:szCs w:val="18"/>
              </w:rPr>
              <w:t>Ne pas négliger l’acceptation (changement de paysage, nouvelle vision), malgré l’habitude à la perception d’un parc.</w:t>
            </w:r>
          </w:p>
          <w:p w:rsidR="00A4051D" w:rsidRDefault="00A4051D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6C7A6F" w:rsidRPr="00A602E4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6C7A6F" w:rsidRDefault="006C7A6F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Q2</w:t>
            </w:r>
          </w:p>
        </w:tc>
        <w:tc>
          <w:tcPr>
            <w:tcW w:w="8726" w:type="dxa"/>
            <w:gridSpan w:val="2"/>
            <w:shd w:val="clear" w:color="auto" w:fill="auto"/>
          </w:tcPr>
          <w:p w:rsidR="006C7A6F" w:rsidRDefault="006C7A6F" w:rsidP="006C7A6F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Que pensez-vous de la fin de l’obligation d’achat et de l’ouverture du marché ? et comment dans ce nouveau contexte, pourront se développer des projets participatif ?</w:t>
            </w:r>
          </w:p>
          <w:p w:rsidR="007472CD" w:rsidRDefault="007472CD" w:rsidP="006C7A6F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</w:p>
          <w:p w:rsidR="007472CD" w:rsidRPr="00C87D7A" w:rsidRDefault="007472CD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C87D7A">
              <w:rPr>
                <w:i/>
                <w:color w:val="FF0000"/>
                <w:sz w:val="18"/>
                <w:szCs w:val="18"/>
              </w:rPr>
              <w:t xml:space="preserve">Allongement de 15 à 20 ans de la durée d’amortissement  est en cohérence avec les équipements et calme la </w:t>
            </w:r>
            <w:proofErr w:type="gramStart"/>
            <w:r w:rsidRPr="00C87D7A">
              <w:rPr>
                <w:i/>
                <w:color w:val="FF0000"/>
                <w:sz w:val="18"/>
                <w:szCs w:val="18"/>
              </w:rPr>
              <w:t>surenchere .</w:t>
            </w:r>
            <w:proofErr w:type="gramEnd"/>
          </w:p>
          <w:p w:rsidR="007472CD" w:rsidRPr="00C87D7A" w:rsidRDefault="007472CD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C87D7A">
              <w:rPr>
                <w:i/>
                <w:color w:val="FF0000"/>
                <w:sz w:val="18"/>
                <w:szCs w:val="18"/>
              </w:rPr>
              <w:t>Le nouveau système à prix moyen garanti est assez proche de l’ancien avec le mêm</w:t>
            </w:r>
            <w:r w:rsidR="00C87D7A">
              <w:rPr>
                <w:i/>
                <w:color w:val="FF0000"/>
                <w:sz w:val="18"/>
                <w:szCs w:val="18"/>
              </w:rPr>
              <w:t>e</w:t>
            </w:r>
            <w:r w:rsidRPr="00C87D7A">
              <w:rPr>
                <w:i/>
                <w:color w:val="FF0000"/>
                <w:sz w:val="18"/>
                <w:szCs w:val="18"/>
              </w:rPr>
              <w:t xml:space="preserve"> acheteur final</w:t>
            </w:r>
          </w:p>
          <w:p w:rsidR="007472CD" w:rsidRPr="00C87D7A" w:rsidRDefault="007472CD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</w:p>
          <w:p w:rsidR="007472CD" w:rsidRDefault="007472CD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C87D7A">
              <w:rPr>
                <w:i/>
                <w:color w:val="FF0000"/>
                <w:sz w:val="18"/>
                <w:szCs w:val="18"/>
              </w:rPr>
              <w:t>Peut favoriser l’émergence de circuits  courts avec un prix moyen plus élevé et orienter vers des schémas d’</w:t>
            </w:r>
            <w:proofErr w:type="spellStart"/>
            <w:r w:rsidRPr="00C87D7A">
              <w:rPr>
                <w:i/>
                <w:color w:val="FF0000"/>
                <w:sz w:val="18"/>
                <w:szCs w:val="18"/>
              </w:rPr>
              <w:t>auotoconsommation</w:t>
            </w:r>
            <w:proofErr w:type="spellEnd"/>
            <w:r w:rsidRPr="00C87D7A">
              <w:rPr>
                <w:i/>
                <w:color w:val="FF0000"/>
                <w:sz w:val="18"/>
                <w:szCs w:val="18"/>
              </w:rPr>
              <w:t xml:space="preserve"> locale </w:t>
            </w:r>
            <w:r w:rsidR="00B358E4">
              <w:rPr>
                <w:i/>
                <w:color w:val="FF0000"/>
                <w:sz w:val="18"/>
                <w:szCs w:val="18"/>
              </w:rPr>
              <w:t xml:space="preserve"> et un risque limité</w:t>
            </w:r>
          </w:p>
          <w:p w:rsidR="00C87D7A" w:rsidRDefault="00C87D7A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</w:p>
          <w:p w:rsidR="00C87D7A" w:rsidRPr="00C87D7A" w:rsidRDefault="00C87D7A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 xml:space="preserve">Les </w:t>
            </w:r>
            <w:proofErr w:type="spellStart"/>
            <w:r>
              <w:rPr>
                <w:i/>
                <w:color w:val="FF0000"/>
                <w:sz w:val="18"/>
                <w:szCs w:val="18"/>
              </w:rPr>
              <w:t>pérogatives</w:t>
            </w:r>
            <w:proofErr w:type="spellEnd"/>
            <w:r>
              <w:rPr>
                <w:i/>
                <w:color w:val="FF0000"/>
                <w:sz w:val="18"/>
                <w:szCs w:val="18"/>
              </w:rPr>
              <w:t xml:space="preserve"> de la CRE  </w:t>
            </w:r>
            <w:proofErr w:type="gramStart"/>
            <w:r>
              <w:rPr>
                <w:i/>
                <w:color w:val="FF0000"/>
                <w:sz w:val="18"/>
                <w:szCs w:val="18"/>
              </w:rPr>
              <w:t>rééquilibrera</w:t>
            </w:r>
            <w:proofErr w:type="gramEnd"/>
            <w:r>
              <w:rPr>
                <w:i/>
                <w:color w:val="FF0000"/>
                <w:sz w:val="18"/>
                <w:szCs w:val="18"/>
              </w:rPr>
              <w:t xml:space="preserve"> la chaine de valeur</w:t>
            </w:r>
          </w:p>
          <w:p w:rsidR="007472CD" w:rsidRPr="00C87D7A" w:rsidRDefault="007472CD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</w:p>
          <w:p w:rsidR="007472CD" w:rsidRPr="00C87D7A" w:rsidRDefault="007472CD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C87D7A">
              <w:rPr>
                <w:i/>
                <w:color w:val="FF0000"/>
                <w:sz w:val="18"/>
                <w:szCs w:val="18"/>
              </w:rPr>
              <w:t>Dans ce contexte les projets participatifs resteront cependant des initiatives isolées</w:t>
            </w:r>
          </w:p>
          <w:p w:rsidR="007472CD" w:rsidRPr="00C87D7A" w:rsidRDefault="007472CD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</w:p>
          <w:p w:rsidR="007472CD" w:rsidRPr="00C87D7A" w:rsidRDefault="007472CD" w:rsidP="006C7A6F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C87D7A">
              <w:rPr>
                <w:i/>
                <w:color w:val="FF0000"/>
                <w:sz w:val="18"/>
                <w:szCs w:val="18"/>
              </w:rPr>
              <w:t>Pour les projets &gt; à 6 machines, le participatif ne sera  pas concerné</w:t>
            </w:r>
          </w:p>
          <w:p w:rsidR="006C7A6F" w:rsidRDefault="006C7A6F" w:rsidP="006C7A6F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</w:p>
          <w:p w:rsidR="006C7A6F" w:rsidRPr="0075556E" w:rsidRDefault="006C7A6F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</w:p>
        </w:tc>
      </w:tr>
      <w:tr w:rsidR="0071098A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6C7A6F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Q3</w:t>
            </w:r>
          </w:p>
        </w:tc>
        <w:tc>
          <w:tcPr>
            <w:tcW w:w="8726" w:type="dxa"/>
            <w:gridSpan w:val="2"/>
            <w:shd w:val="clear" w:color="auto" w:fill="auto"/>
          </w:tcPr>
          <w:p w:rsidR="0092664C" w:rsidRDefault="00CE0F1A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Pensez-vous qu’il existe une fracture entre l’intérêt du particulier et l’intérêt du collectif dans le développement de l’éolien ? Comment peut-elle être dépassée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CA5460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B358E4">
              <w:rPr>
                <w:color w:val="FF0000"/>
                <w:sz w:val="18"/>
                <w:szCs w:val="18"/>
              </w:rPr>
              <w:t xml:space="preserve">Ne concerne pas que l’éolien. : Comment expliquer que l’intérêt collectif sert l’intérêt individuel </w:t>
            </w:r>
            <w:proofErr w:type="gramStart"/>
            <w:r w:rsidRPr="00B358E4">
              <w:rPr>
                <w:color w:val="FF0000"/>
                <w:sz w:val="18"/>
                <w:szCs w:val="18"/>
              </w:rPr>
              <w:t>( station</w:t>
            </w:r>
            <w:proofErr w:type="gramEnd"/>
            <w:r w:rsidRPr="00B358E4">
              <w:rPr>
                <w:color w:val="FF0000"/>
                <w:sz w:val="18"/>
                <w:szCs w:val="18"/>
              </w:rPr>
              <w:t xml:space="preserve"> épuration, CET, route à 4 voies, …même combat). L’effet de redistribution  pour un parc éolien n’est pas visible. Phénomène social de consommateur, niant les contraintes</w:t>
            </w:r>
            <w:r w:rsidR="009721DD" w:rsidRPr="00B358E4">
              <w:rPr>
                <w:color w:val="FF0000"/>
                <w:sz w:val="18"/>
                <w:szCs w:val="18"/>
              </w:rPr>
              <w:t xml:space="preserve"> de</w:t>
            </w:r>
            <w:r w:rsidR="00B358E4">
              <w:rPr>
                <w:color w:val="FF0000"/>
                <w:sz w:val="18"/>
                <w:szCs w:val="18"/>
              </w:rPr>
              <w:t xml:space="preserve">s outils de </w:t>
            </w:r>
            <w:r w:rsidR="009721DD" w:rsidRPr="00B358E4">
              <w:rPr>
                <w:color w:val="FF0000"/>
                <w:sz w:val="18"/>
                <w:szCs w:val="18"/>
              </w:rPr>
              <w:t xml:space="preserve"> production </w:t>
            </w:r>
          </w:p>
          <w:p w:rsidR="00B358E4" w:rsidRDefault="00B358E4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</w:p>
          <w:p w:rsidR="00B358E4" w:rsidRPr="00B358E4" w:rsidRDefault="00B358E4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Mettre en œuvre un contrat collectif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2A7C13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Q4</w:t>
            </w:r>
          </w:p>
        </w:tc>
        <w:tc>
          <w:tcPr>
            <w:tcW w:w="8726" w:type="dxa"/>
            <w:gridSpan w:val="2"/>
            <w:shd w:val="clear" w:color="auto" w:fill="auto"/>
          </w:tcPr>
          <w:p w:rsidR="0092664C" w:rsidRDefault="00CE0F1A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Pensez-vous qu’un portage politique local/ à l’échelle de l’EPCI soit un levier pour le développement éolien ?</w:t>
            </w:r>
          </w:p>
          <w:p w:rsidR="00CA5460" w:rsidRPr="00B358E4" w:rsidRDefault="009721DD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B358E4">
              <w:rPr>
                <w:color w:val="FF0000"/>
                <w:sz w:val="18"/>
                <w:szCs w:val="18"/>
              </w:rPr>
              <w:lastRenderedPageBreak/>
              <w:t>Oui l’EPCI est la bonne échelle</w:t>
            </w:r>
            <w:r w:rsidR="00807B06" w:rsidRPr="00B358E4">
              <w:rPr>
                <w:color w:val="FF0000"/>
                <w:sz w:val="18"/>
                <w:szCs w:val="18"/>
              </w:rPr>
              <w:t>, mais lien entre EPCI et petites communes souvent pas clair.</w:t>
            </w:r>
          </w:p>
          <w:p w:rsidR="00807B06" w:rsidRPr="00B358E4" w:rsidRDefault="00807B06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B358E4">
              <w:rPr>
                <w:color w:val="FF0000"/>
                <w:sz w:val="18"/>
                <w:szCs w:val="18"/>
              </w:rPr>
              <w:t xml:space="preserve">Les EPCI n’ont pas de stratégie globale, ni d’outils de planification </w:t>
            </w:r>
            <w:proofErr w:type="gramStart"/>
            <w:r w:rsidRPr="00B358E4">
              <w:rPr>
                <w:color w:val="FF0000"/>
                <w:sz w:val="18"/>
                <w:szCs w:val="18"/>
              </w:rPr>
              <w:t>( ZDE</w:t>
            </w:r>
            <w:proofErr w:type="gramEnd"/>
            <w:r w:rsidRPr="00B358E4">
              <w:rPr>
                <w:color w:val="FF0000"/>
                <w:sz w:val="18"/>
                <w:szCs w:val="18"/>
              </w:rPr>
              <w:t xml:space="preserve"> .. ). Les petites communes se retrouvent isolées face aux porteurs de projets sans moyens de discernement</w:t>
            </w:r>
            <w:r w:rsidR="00B358E4">
              <w:rPr>
                <w:color w:val="FF0000"/>
                <w:sz w:val="18"/>
                <w:szCs w:val="18"/>
              </w:rPr>
              <w:t>. Les porteurs de projets profitent de ces disfonctionnement relationnels pour intervenir directement auprès des propriétaires ou des communes isolées</w:t>
            </w:r>
          </w:p>
          <w:p w:rsidR="0071098A" w:rsidRPr="00B358E4" w:rsidRDefault="0071098A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</w:p>
          <w:p w:rsidR="0071098A" w:rsidRDefault="00807B06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 w:rsidRPr="00B358E4">
              <w:rPr>
                <w:color w:val="FF0000"/>
                <w:sz w:val="18"/>
                <w:szCs w:val="18"/>
              </w:rPr>
              <w:t>Problème de la répartition fiscale récurrent</w:t>
            </w:r>
          </w:p>
          <w:p w:rsidR="00B358E4" w:rsidRDefault="00B358E4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</w:p>
          <w:p w:rsidR="00B358E4" w:rsidRPr="00B358E4" w:rsidRDefault="00B358E4" w:rsidP="002D5375">
            <w:pPr>
              <w:pStyle w:val="WW-Standard"/>
              <w:spacing w:line="264" w:lineRule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Ce sujet reste politiquement chaud et n’est souvent porté que par quelques élus isolés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6C7A6F" w:rsidTr="002A7C13">
        <w:trPr>
          <w:jc w:val="center"/>
        </w:trPr>
        <w:tc>
          <w:tcPr>
            <w:tcW w:w="928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lastRenderedPageBreak/>
              <w:t>Réaction</w:t>
            </w:r>
            <w:r>
              <w:rPr>
                <w:b/>
                <w:sz w:val="18"/>
                <w:szCs w:val="18"/>
              </w:rPr>
              <w:t>s</w:t>
            </w:r>
            <w:r w:rsidRPr="00135439">
              <w:rPr>
                <w:b/>
                <w:sz w:val="18"/>
                <w:szCs w:val="18"/>
              </w:rPr>
              <w:t xml:space="preserve"> par rapport aux actions d’ores et déjà identifiés par le groupe éolien</w:t>
            </w:r>
          </w:p>
        </w:tc>
      </w:tr>
      <w:tr w:rsidR="0071098A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</w:t>
            </w:r>
            <w:r w:rsidR="002A7C13"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8726" w:type="dxa"/>
            <w:gridSpan w:val="2"/>
            <w:shd w:val="clear" w:color="auto" w:fill="auto"/>
          </w:tcPr>
          <w:p w:rsidR="0092664C" w:rsidRDefault="004C0CC4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Que pensez-vous des actions suivantes identifiées par le groupe pour faire partie de la feuille de route 2030 sur l’éolien :</w:t>
            </w:r>
          </w:p>
          <w:p w:rsidR="004C0CC4" w:rsidRPr="00B358E4" w:rsidRDefault="004C0CC4" w:rsidP="004C0CC4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8496B0" w:themeColor="text2" w:themeTint="99"/>
                <w:sz w:val="18"/>
                <w:szCs w:val="18"/>
              </w:rPr>
            </w:pPr>
            <w:r w:rsidRPr="00B358E4">
              <w:rPr>
                <w:i/>
                <w:color w:val="8496B0" w:themeColor="text2" w:themeTint="99"/>
                <w:sz w:val="18"/>
                <w:szCs w:val="18"/>
              </w:rPr>
              <w:t>Mettre en place des formations pour les acteurs locaux (dont élus /volet EPCI)</w:t>
            </w:r>
          </w:p>
          <w:p w:rsidR="00807B06" w:rsidRPr="004E776E" w:rsidRDefault="00807B06" w:rsidP="00807B06">
            <w:pPr>
              <w:pStyle w:val="WW-Standard"/>
              <w:spacing w:line="264" w:lineRule="auto"/>
              <w:ind w:left="720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Oui : Mettre en  place plan de formation</w:t>
            </w:r>
          </w:p>
          <w:p w:rsidR="00807B06" w:rsidRPr="004E776E" w:rsidRDefault="00807B06" w:rsidP="00807B06">
            <w:pPr>
              <w:pStyle w:val="WW-Standard"/>
              <w:spacing w:line="264" w:lineRule="auto"/>
              <w:ind w:left="720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Elu motivé consol</w:t>
            </w:r>
            <w:r w:rsidR="00B358E4">
              <w:rPr>
                <w:i/>
                <w:color w:val="FF0000"/>
                <w:sz w:val="18"/>
                <w:szCs w:val="18"/>
              </w:rPr>
              <w:t>i</w:t>
            </w:r>
            <w:r w:rsidRPr="004E776E">
              <w:rPr>
                <w:i/>
                <w:color w:val="FF0000"/>
                <w:sz w:val="18"/>
                <w:szCs w:val="18"/>
              </w:rPr>
              <w:t>de son engagement, élu peu motivé voit son point de vue évoluer favorablement et s’implique</w:t>
            </w:r>
          </w:p>
          <w:p w:rsidR="00807B06" w:rsidRPr="004E776E" w:rsidRDefault="00807B06" w:rsidP="00807B06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Formation technique</w:t>
            </w:r>
          </w:p>
          <w:p w:rsidR="00807B06" w:rsidRPr="004E776E" w:rsidRDefault="00807B06" w:rsidP="00807B06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Formation économique</w:t>
            </w:r>
          </w:p>
          <w:p w:rsidR="00807B06" w:rsidRPr="004E776E" w:rsidRDefault="00807B06" w:rsidP="00807B06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Définir les objectifs</w:t>
            </w:r>
          </w:p>
          <w:p w:rsidR="00F31D06" w:rsidRDefault="004E776E" w:rsidP="00F31D06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 xml:space="preserve">Mise en </w:t>
            </w:r>
            <w:r w:rsidR="00B358E4">
              <w:rPr>
                <w:i/>
                <w:color w:val="FF0000"/>
                <w:sz w:val="18"/>
                <w:szCs w:val="18"/>
              </w:rPr>
              <w:t>œuvre de ces objectifs</w:t>
            </w:r>
          </w:p>
          <w:p w:rsidR="00F31D06" w:rsidRPr="00F31D06" w:rsidRDefault="00F31D06" w:rsidP="00F31D06">
            <w:pPr>
              <w:pStyle w:val="WW-Standard"/>
              <w:spacing w:line="264" w:lineRule="auto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 xml:space="preserve">             Mettre en valeur le rôle généraliste du développeur</w:t>
            </w:r>
          </w:p>
          <w:p w:rsidR="00807B06" w:rsidRDefault="00807B06" w:rsidP="00807B06">
            <w:pPr>
              <w:pStyle w:val="WW-Standard"/>
              <w:spacing w:line="264" w:lineRule="auto"/>
              <w:ind w:left="720"/>
              <w:rPr>
                <w:i/>
                <w:color w:val="4472C4" w:themeColor="accent5"/>
                <w:sz w:val="18"/>
                <w:szCs w:val="18"/>
              </w:rPr>
            </w:pPr>
          </w:p>
          <w:p w:rsidR="004C0CC4" w:rsidRDefault="004C0CC4" w:rsidP="004C0CC4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Favoriser la participation financière des collectivités dans les projets</w:t>
            </w:r>
          </w:p>
          <w:p w:rsidR="004E776E" w:rsidRPr="004E776E" w:rsidRDefault="004E776E" w:rsidP="004E776E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 xml:space="preserve">Intégrer la collectivité dès le début du </w:t>
            </w:r>
            <w:proofErr w:type="gramStart"/>
            <w:r w:rsidR="00F31D06" w:rsidRPr="004E776E">
              <w:rPr>
                <w:i/>
                <w:color w:val="FF0000"/>
                <w:sz w:val="18"/>
                <w:szCs w:val="18"/>
              </w:rPr>
              <w:t>développement(</w:t>
            </w:r>
            <w:proofErr w:type="gramEnd"/>
            <w:r w:rsidR="00F31D06" w:rsidRPr="004E776E">
              <w:rPr>
                <w:i/>
                <w:color w:val="FF0000"/>
                <w:sz w:val="18"/>
                <w:szCs w:val="18"/>
              </w:rPr>
              <w:t>par</w:t>
            </w:r>
            <w:r w:rsidRPr="004E776E">
              <w:rPr>
                <w:i/>
                <w:color w:val="FF0000"/>
                <w:sz w:val="18"/>
                <w:szCs w:val="18"/>
              </w:rPr>
              <w:t xml:space="preserve"> ex dans la maitrise foncière), actions valorisables</w:t>
            </w:r>
          </w:p>
          <w:p w:rsidR="004E776E" w:rsidRPr="004E776E" w:rsidRDefault="004E776E" w:rsidP="004E776E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Assister les collectivités dans les prises de participations</w:t>
            </w:r>
          </w:p>
          <w:p w:rsidR="004C0CC4" w:rsidRDefault="004C0CC4" w:rsidP="004C0CC4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Développer des nouveaux marchés coopératifs locaux</w:t>
            </w:r>
          </w:p>
          <w:p w:rsidR="004E776E" w:rsidRPr="004E776E" w:rsidRDefault="004E776E" w:rsidP="004E776E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Bien évidemment</w:t>
            </w:r>
          </w:p>
          <w:p w:rsidR="004C0CC4" w:rsidRDefault="004C0CC4" w:rsidP="004C0CC4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Identifier/quantifier les externalités positives</w:t>
            </w:r>
          </w:p>
          <w:p w:rsidR="004E776E" w:rsidRPr="004E776E" w:rsidRDefault="004E776E" w:rsidP="004E776E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A déterminer à une échelle locale</w:t>
            </w:r>
          </w:p>
          <w:p w:rsidR="002A7C13" w:rsidRDefault="002A7C13" w:rsidP="002A7C13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1D20D3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2A7C13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Q6</w:t>
            </w:r>
          </w:p>
        </w:tc>
        <w:tc>
          <w:tcPr>
            <w:tcW w:w="8726" w:type="dxa"/>
            <w:gridSpan w:val="2"/>
            <w:shd w:val="clear" w:color="auto" w:fill="auto"/>
          </w:tcPr>
          <w:p w:rsidR="001D20D3" w:rsidRDefault="001D20D3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Concernant la conciliation des usages, que pensez-vous des actions suivantes :</w:t>
            </w:r>
          </w:p>
          <w:p w:rsidR="001D20D3" w:rsidRDefault="001D20D3" w:rsidP="001D20D3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Objectiver et faire évoluer les perceptions (paysages, patrimoines)</w:t>
            </w:r>
          </w:p>
          <w:p w:rsidR="004E776E" w:rsidRPr="004E776E" w:rsidRDefault="00A357D7" w:rsidP="004E776E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 xml:space="preserve">Pas facile </w:t>
            </w:r>
            <w:r w:rsidR="004E776E">
              <w:rPr>
                <w:i/>
                <w:color w:val="FF0000"/>
                <w:sz w:val="18"/>
                <w:szCs w:val="18"/>
              </w:rPr>
              <w:t xml:space="preserve"> d’objectiver ce qui est subjectif</w:t>
            </w:r>
          </w:p>
          <w:p w:rsidR="004E776E" w:rsidRPr="004E776E" w:rsidRDefault="004E776E" w:rsidP="004E776E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L’usage est le meilleur moyen de faire évoluer la perspective au paysage</w:t>
            </w:r>
            <w:r>
              <w:rPr>
                <w:i/>
                <w:color w:val="FF0000"/>
                <w:sz w:val="18"/>
                <w:szCs w:val="18"/>
              </w:rPr>
              <w:t>. On s’habitue à la modification de notre paysage</w:t>
            </w:r>
          </w:p>
          <w:p w:rsidR="004E776E" w:rsidRDefault="004E776E" w:rsidP="004E776E">
            <w:pPr>
              <w:pStyle w:val="WW-Standard"/>
              <w:spacing w:line="264" w:lineRule="auto"/>
              <w:ind w:left="2115"/>
              <w:rPr>
                <w:i/>
                <w:color w:val="4472C4" w:themeColor="accent5"/>
                <w:sz w:val="18"/>
                <w:szCs w:val="18"/>
              </w:rPr>
            </w:pPr>
          </w:p>
          <w:p w:rsidR="001D20D3" w:rsidRDefault="001D20D3" w:rsidP="001D20D3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Changer d’échelle (EPCI pour cadre PCAET)</w:t>
            </w:r>
          </w:p>
          <w:p w:rsidR="004E776E" w:rsidRPr="004E776E" w:rsidRDefault="004E776E" w:rsidP="004E776E">
            <w:pPr>
              <w:pStyle w:val="WW-Standard"/>
              <w:spacing w:line="264" w:lineRule="auto"/>
              <w:ind w:left="720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 xml:space="preserve">Assister l’EPCI dans la mise en œuvre du PCAET sur le volet éolien </w:t>
            </w:r>
            <w:proofErr w:type="gramStart"/>
            <w:r w:rsidRPr="004E776E">
              <w:rPr>
                <w:i/>
                <w:color w:val="FF0000"/>
                <w:sz w:val="18"/>
                <w:szCs w:val="18"/>
              </w:rPr>
              <w:t>( par</w:t>
            </w:r>
            <w:proofErr w:type="gramEnd"/>
            <w:r w:rsidRPr="004E776E">
              <w:rPr>
                <w:i/>
                <w:color w:val="FF0000"/>
                <w:sz w:val="18"/>
                <w:szCs w:val="18"/>
              </w:rPr>
              <w:t xml:space="preserve"> ex . ZDE ?)</w:t>
            </w:r>
          </w:p>
          <w:p w:rsidR="004C0CC4" w:rsidRDefault="001D20D3" w:rsidP="001D20D3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Faciliter les acquisitions foncières</w:t>
            </w:r>
            <w:r w:rsidR="004C0CC4">
              <w:rPr>
                <w:i/>
                <w:color w:val="4472C4" w:themeColor="accent5"/>
                <w:sz w:val="18"/>
                <w:szCs w:val="18"/>
              </w:rPr>
              <w:t xml:space="preserve"> </w:t>
            </w:r>
            <w:r>
              <w:rPr>
                <w:i/>
                <w:color w:val="4472C4" w:themeColor="accent5"/>
                <w:sz w:val="18"/>
                <w:szCs w:val="18"/>
              </w:rPr>
              <w:t>/ positionner les installations éoliennes comme d’intérêt général</w:t>
            </w:r>
          </w:p>
          <w:p w:rsidR="004E776E" w:rsidRPr="004E776E" w:rsidRDefault="004E776E" w:rsidP="004E776E">
            <w:pPr>
              <w:pStyle w:val="WW-Standard"/>
              <w:spacing w:line="264" w:lineRule="auto"/>
              <w:ind w:left="720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>Oui, mais ponctuel à pondérer par rapport à d’autres enjeux</w:t>
            </w:r>
            <w:r w:rsidR="00F31D06">
              <w:rPr>
                <w:i/>
                <w:color w:val="FF0000"/>
                <w:sz w:val="18"/>
                <w:szCs w:val="18"/>
              </w:rPr>
              <w:t xml:space="preserve"> et conflits d’intérêts</w:t>
            </w:r>
          </w:p>
          <w:p w:rsidR="001D20D3" w:rsidRDefault="001D20D3" w:rsidP="001D20D3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Réviser certains SAGE</w:t>
            </w:r>
          </w:p>
          <w:p w:rsidR="004E776E" w:rsidRPr="004E776E" w:rsidRDefault="004E776E" w:rsidP="004E776E">
            <w:pPr>
              <w:pStyle w:val="WW-Standard"/>
              <w:spacing w:line="264" w:lineRule="auto"/>
              <w:ind w:left="720"/>
              <w:rPr>
                <w:i/>
                <w:color w:val="FF0000"/>
                <w:sz w:val="18"/>
                <w:szCs w:val="18"/>
              </w:rPr>
            </w:pPr>
            <w:r w:rsidRPr="004E776E">
              <w:rPr>
                <w:i/>
                <w:color w:val="FF0000"/>
                <w:sz w:val="18"/>
                <w:szCs w:val="18"/>
              </w:rPr>
              <w:t xml:space="preserve">Oui, mais ponctuel à pondérer par rapport à d’autres enjeux </w:t>
            </w:r>
            <w:r w:rsidR="00FE3098" w:rsidRPr="004E776E">
              <w:rPr>
                <w:i/>
                <w:color w:val="FF0000"/>
                <w:sz w:val="18"/>
                <w:szCs w:val="18"/>
              </w:rPr>
              <w:t>(agricoles</w:t>
            </w:r>
            <w:r w:rsidRPr="004E776E">
              <w:rPr>
                <w:i/>
                <w:color w:val="FF0000"/>
                <w:sz w:val="18"/>
                <w:szCs w:val="18"/>
              </w:rPr>
              <w:t>, sanitaires, …). Lourd à faire évoluer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2A7C13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Q7</w:t>
            </w:r>
          </w:p>
        </w:tc>
        <w:tc>
          <w:tcPr>
            <w:tcW w:w="8726" w:type="dxa"/>
            <w:gridSpan w:val="2"/>
            <w:shd w:val="clear" w:color="auto" w:fill="auto"/>
          </w:tcPr>
          <w:p w:rsidR="0092664C" w:rsidRDefault="004C0CC4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Selon vous, q</w:t>
            </w:r>
            <w:r w:rsidR="002A7C13">
              <w:rPr>
                <w:i/>
                <w:color w:val="4472C4" w:themeColor="accent5"/>
                <w:sz w:val="18"/>
                <w:szCs w:val="18"/>
              </w:rPr>
              <w:t xml:space="preserve">uels seraient les outils utiles/soutiens qui permettraient de faciliter le développement et l’acceptabilité d’un projet éolien ? </w:t>
            </w:r>
          </w:p>
          <w:p w:rsidR="0071098A" w:rsidRPr="00F31D06" w:rsidRDefault="00C87D7A" w:rsidP="00C87D7A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color w:val="FF0000"/>
                <w:sz w:val="18"/>
                <w:szCs w:val="18"/>
              </w:rPr>
            </w:pPr>
            <w:r w:rsidRPr="00F31D06">
              <w:rPr>
                <w:color w:val="FF0000"/>
                <w:sz w:val="18"/>
                <w:szCs w:val="18"/>
              </w:rPr>
              <w:t xml:space="preserve">Maitrise foncière par les collectivités donne du temps à la maturation du projet sous contrôle de la </w:t>
            </w:r>
            <w:proofErr w:type="gramStart"/>
            <w:r w:rsidRPr="00F31D06">
              <w:rPr>
                <w:color w:val="FF0000"/>
                <w:sz w:val="18"/>
                <w:szCs w:val="18"/>
              </w:rPr>
              <w:t>collectivité</w:t>
            </w:r>
            <w:r w:rsidR="00A357D7">
              <w:rPr>
                <w:color w:val="FF0000"/>
                <w:sz w:val="18"/>
                <w:szCs w:val="18"/>
              </w:rPr>
              <w:t xml:space="preserve"> .</w:t>
            </w:r>
            <w:proofErr w:type="gramEnd"/>
            <w:r w:rsidR="00A357D7">
              <w:rPr>
                <w:color w:val="FF0000"/>
                <w:sz w:val="18"/>
                <w:szCs w:val="18"/>
              </w:rPr>
              <w:t xml:space="preserve"> La collectivité est garante auprès de la population</w:t>
            </w:r>
          </w:p>
          <w:p w:rsidR="00C87D7A" w:rsidRDefault="00C87D7A" w:rsidP="00C87D7A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sz w:val="18"/>
                <w:szCs w:val="18"/>
              </w:rPr>
            </w:pPr>
            <w:r w:rsidRPr="00F31D06">
              <w:rPr>
                <w:color w:val="FF0000"/>
                <w:sz w:val="18"/>
                <w:szCs w:val="18"/>
              </w:rPr>
              <w:t>Formations enjeux, risques, avantages</w:t>
            </w:r>
          </w:p>
          <w:p w:rsidR="00C87D7A" w:rsidRDefault="00C87D7A" w:rsidP="00C87D7A">
            <w:pPr>
              <w:pStyle w:val="WW-Standard"/>
              <w:spacing w:line="264" w:lineRule="auto"/>
              <w:ind w:left="2115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6C7A6F" w:rsidTr="002A7C13">
        <w:trPr>
          <w:jc w:val="center"/>
        </w:trPr>
        <w:tc>
          <w:tcPr>
            <w:tcW w:w="928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lastRenderedPageBreak/>
              <w:t xml:space="preserve">Projection de la place et </w:t>
            </w:r>
            <w:r>
              <w:rPr>
                <w:b/>
                <w:sz w:val="18"/>
                <w:szCs w:val="18"/>
              </w:rPr>
              <w:t xml:space="preserve">de </w:t>
            </w:r>
            <w:r w:rsidRPr="00135439">
              <w:rPr>
                <w:b/>
                <w:sz w:val="18"/>
                <w:szCs w:val="18"/>
              </w:rPr>
              <w:t>l’</w:t>
            </w:r>
            <w:r>
              <w:rPr>
                <w:b/>
                <w:sz w:val="18"/>
                <w:szCs w:val="18"/>
              </w:rPr>
              <w:t>engagement de l</w:t>
            </w:r>
            <w:r w:rsidRPr="00135439">
              <w:rPr>
                <w:b/>
                <w:sz w:val="18"/>
                <w:szCs w:val="18"/>
              </w:rPr>
              <w:t>a structure auditionnée dans le future </w:t>
            </w:r>
            <w:r>
              <w:rPr>
                <w:b/>
                <w:sz w:val="18"/>
                <w:szCs w:val="18"/>
              </w:rPr>
              <w:t>pour un éolien raisonné</w:t>
            </w:r>
          </w:p>
        </w:tc>
      </w:tr>
      <w:tr w:rsidR="0071098A" w:rsidRPr="002A7C13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2A7C13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8726" w:type="dxa"/>
            <w:gridSpan w:val="2"/>
            <w:shd w:val="clear" w:color="auto" w:fill="auto"/>
          </w:tcPr>
          <w:p w:rsidR="004C0CC4" w:rsidRDefault="002A7C13" w:rsidP="002A7C13">
            <w:pPr>
              <w:pStyle w:val="WW-Standard"/>
              <w:spacing w:line="264" w:lineRule="auto"/>
              <w:rPr>
                <w:i/>
                <w:color w:val="2E74B5" w:themeColor="accent1" w:themeShade="BF"/>
                <w:sz w:val="18"/>
                <w:szCs w:val="18"/>
              </w:rPr>
            </w:pPr>
            <w:r>
              <w:rPr>
                <w:i/>
                <w:color w:val="2E74B5" w:themeColor="accent1" w:themeShade="BF"/>
                <w:sz w:val="18"/>
                <w:szCs w:val="18"/>
              </w:rPr>
              <w:t>Comment positionner</w:t>
            </w:r>
            <w:r w:rsidRPr="002A7C13">
              <w:rPr>
                <w:i/>
                <w:color w:val="2E74B5" w:themeColor="accent1" w:themeShade="BF"/>
                <w:sz w:val="18"/>
                <w:szCs w:val="18"/>
              </w:rPr>
              <w:t xml:space="preserve"> </w:t>
            </w:r>
            <w:r>
              <w:rPr>
                <w:i/>
                <w:color w:val="2E74B5" w:themeColor="accent1" w:themeShade="BF"/>
                <w:sz w:val="18"/>
                <w:szCs w:val="18"/>
              </w:rPr>
              <w:t>le développement participatif de l’éolien  dans le contexte économique actuel et à venir</w:t>
            </w:r>
            <w:r w:rsidRPr="002A7C13">
              <w:rPr>
                <w:i/>
                <w:color w:val="2E74B5" w:themeColor="accent1" w:themeShade="BF"/>
                <w:sz w:val="18"/>
                <w:szCs w:val="18"/>
              </w:rPr>
              <w:t xml:space="preserve">? </w:t>
            </w:r>
          </w:p>
          <w:p w:rsidR="00C87D7A" w:rsidRDefault="00C87D7A" w:rsidP="00C87D7A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C87D7A">
              <w:rPr>
                <w:i/>
                <w:color w:val="FF0000"/>
                <w:sz w:val="18"/>
                <w:szCs w:val="18"/>
              </w:rPr>
              <w:t>Favorable, mais atte</w:t>
            </w:r>
            <w:r w:rsidR="00A357D7">
              <w:rPr>
                <w:i/>
                <w:color w:val="FF0000"/>
                <w:sz w:val="18"/>
                <w:szCs w:val="18"/>
              </w:rPr>
              <w:t xml:space="preserve">ntion aux modèles ressemblent </w:t>
            </w:r>
            <w:r w:rsidRPr="00C87D7A">
              <w:rPr>
                <w:i/>
                <w:color w:val="FF0000"/>
                <w:sz w:val="18"/>
                <w:szCs w:val="18"/>
              </w:rPr>
              <w:t>une manœuvre de communication</w:t>
            </w:r>
          </w:p>
          <w:p w:rsidR="00A357D7" w:rsidRPr="00C87D7A" w:rsidRDefault="00A357D7" w:rsidP="00C87D7A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color w:val="FF0000"/>
                <w:sz w:val="18"/>
                <w:szCs w:val="18"/>
              </w:rPr>
              <w:t>Assainissement et consolidation prévisibles</w:t>
            </w:r>
          </w:p>
          <w:p w:rsidR="0071098A" w:rsidRPr="00C87D7A" w:rsidRDefault="00C87D7A" w:rsidP="002D5375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i/>
                <w:color w:val="FF0000"/>
                <w:sz w:val="18"/>
                <w:szCs w:val="18"/>
              </w:rPr>
            </w:pPr>
            <w:r w:rsidRPr="00C87D7A">
              <w:rPr>
                <w:i/>
                <w:color w:val="FF0000"/>
                <w:sz w:val="18"/>
                <w:szCs w:val="18"/>
              </w:rPr>
              <w:t>Mixer avec d’autres ENR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8726" w:type="dxa"/>
            <w:gridSpan w:val="2"/>
            <w:shd w:val="clear" w:color="auto" w:fill="auto"/>
          </w:tcPr>
          <w:p w:rsidR="0071098A" w:rsidRPr="002A7C13" w:rsidRDefault="0071098A" w:rsidP="002D5375">
            <w:pPr>
              <w:pStyle w:val="WW-Standard"/>
              <w:spacing w:line="264" w:lineRule="auto"/>
              <w:rPr>
                <w:i/>
                <w:color w:val="2E74B5" w:themeColor="accent1" w:themeShade="BF"/>
                <w:sz w:val="18"/>
                <w:szCs w:val="18"/>
              </w:rPr>
            </w:pPr>
            <w:r w:rsidRPr="002A7C13">
              <w:rPr>
                <w:i/>
                <w:color w:val="2E74B5" w:themeColor="accent1" w:themeShade="BF"/>
                <w:sz w:val="18"/>
                <w:szCs w:val="18"/>
              </w:rPr>
              <w:t>Seriez-vous d’accord pour apparaitre comme acteurs d’une action dans la feuille de route, si oui, comment, quand et sous quelles conditions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5C16F0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Pr="005C16F0">
              <w:rPr>
                <w:color w:val="FF0000"/>
                <w:sz w:val="18"/>
                <w:szCs w:val="18"/>
              </w:rPr>
              <w:t xml:space="preserve"> oui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5C16F0" w:rsidTr="002A7C1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C16F0" w:rsidRDefault="005C16F0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726" w:type="dxa"/>
            <w:gridSpan w:val="2"/>
            <w:shd w:val="clear" w:color="auto" w:fill="auto"/>
          </w:tcPr>
          <w:p w:rsidR="005C16F0" w:rsidRPr="002A7C13" w:rsidRDefault="005C16F0" w:rsidP="002D5375">
            <w:pPr>
              <w:pStyle w:val="WW-Standard"/>
              <w:spacing w:line="264" w:lineRule="auto"/>
              <w:rPr>
                <w:i/>
                <w:color w:val="2E74B5" w:themeColor="accent1" w:themeShade="BF"/>
                <w:sz w:val="18"/>
                <w:szCs w:val="18"/>
              </w:rPr>
            </w:pPr>
          </w:p>
        </w:tc>
      </w:tr>
    </w:tbl>
    <w:p w:rsidR="00A366BC" w:rsidRDefault="00A366BC"/>
    <w:sectPr w:rsidR="00A36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34EF7"/>
    <w:multiLevelType w:val="hybridMultilevel"/>
    <w:tmpl w:val="B6987222"/>
    <w:lvl w:ilvl="0" w:tplc="3A680024">
      <w:numFmt w:val="bullet"/>
      <w:lvlText w:val=""/>
      <w:lvlJc w:val="left"/>
      <w:pPr>
        <w:ind w:left="2115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" w15:restartNumberingAfterBreak="0">
    <w:nsid w:val="52F82E66"/>
    <w:multiLevelType w:val="hybridMultilevel"/>
    <w:tmpl w:val="77022B1A"/>
    <w:lvl w:ilvl="0" w:tplc="B5225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F483C"/>
    <w:multiLevelType w:val="hybridMultilevel"/>
    <w:tmpl w:val="D9E603D6"/>
    <w:lvl w:ilvl="0" w:tplc="5B4027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8A"/>
    <w:rsid w:val="000F1963"/>
    <w:rsid w:val="001D20D3"/>
    <w:rsid w:val="001D268B"/>
    <w:rsid w:val="002A7C13"/>
    <w:rsid w:val="0030062B"/>
    <w:rsid w:val="003505A0"/>
    <w:rsid w:val="004A12F3"/>
    <w:rsid w:val="004C0CC4"/>
    <w:rsid w:val="004E776E"/>
    <w:rsid w:val="005C16F0"/>
    <w:rsid w:val="006A3AE9"/>
    <w:rsid w:val="006C7A6F"/>
    <w:rsid w:val="0071098A"/>
    <w:rsid w:val="007472CD"/>
    <w:rsid w:val="007B5F4A"/>
    <w:rsid w:val="00807B06"/>
    <w:rsid w:val="00840497"/>
    <w:rsid w:val="008B1716"/>
    <w:rsid w:val="008D7F95"/>
    <w:rsid w:val="0092664C"/>
    <w:rsid w:val="009721DD"/>
    <w:rsid w:val="00A357D7"/>
    <w:rsid w:val="00A366BC"/>
    <w:rsid w:val="00A4051D"/>
    <w:rsid w:val="00A602E4"/>
    <w:rsid w:val="00B358E4"/>
    <w:rsid w:val="00B4252E"/>
    <w:rsid w:val="00C40021"/>
    <w:rsid w:val="00C5539B"/>
    <w:rsid w:val="00C87D7A"/>
    <w:rsid w:val="00CA5460"/>
    <w:rsid w:val="00CE0F1A"/>
    <w:rsid w:val="00DA3622"/>
    <w:rsid w:val="00F31D06"/>
    <w:rsid w:val="00FE3098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E25C5-2A56-4EBB-9F7A-92A6673C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9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W-Standard">
    <w:name w:val="WW-Standard"/>
    <w:uiPriority w:val="99"/>
    <w:rsid w:val="0071098A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A"/>
      <w:kern w:val="3"/>
      <w:szCs w:val="20"/>
      <w:lang w:eastAsia="zh-CN"/>
    </w:rPr>
  </w:style>
  <w:style w:type="table" w:styleId="Grilledutableau">
    <w:name w:val="Table Grid"/>
    <w:basedOn w:val="TableauNormal"/>
    <w:rsid w:val="0071098A"/>
    <w:pPr>
      <w:spacing w:after="0" w:line="240" w:lineRule="auto"/>
    </w:pPr>
    <w:rPr>
      <w:rFonts w:ascii="Times New Roman" w:eastAsia="Andale Sans UI" w:hAnsi="Times New Roman" w:cs="Tahom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A3A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3AE9"/>
    <w:rPr>
      <w:rFonts w:ascii="Segoe UI" w:eastAsia="Andale Sans UI" w:hAnsi="Segoe UI" w:cs="Segoe UI"/>
      <w:kern w:val="3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6120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LALLEMAND Louis</dc:creator>
  <cp:keywords/>
  <dc:description/>
  <cp:lastModifiedBy>Caroline François</cp:lastModifiedBy>
  <cp:revision>2</cp:revision>
  <cp:lastPrinted>2017-05-23T08:00:00Z</cp:lastPrinted>
  <dcterms:created xsi:type="dcterms:W3CDTF">2017-06-14T14:23:00Z</dcterms:created>
  <dcterms:modified xsi:type="dcterms:W3CDTF">2017-06-14T14:23:00Z</dcterms:modified>
</cp:coreProperties>
</file>