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057"/>
        <w:gridCol w:w="6669"/>
      </w:tblGrid>
      <w:tr w:rsidR="0071098A" w:rsidRPr="006A3AE9" w:rsidTr="002D5375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71098A" w:rsidRPr="008A0D6F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#5</w:t>
            </w:r>
          </w:p>
        </w:tc>
        <w:tc>
          <w:tcPr>
            <w:tcW w:w="6939" w:type="dxa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</w:t>
            </w:r>
            <w:r w:rsidR="007D703D">
              <w:rPr>
                <w:b/>
                <w:i/>
                <w:color w:val="000000"/>
                <w:sz w:val="18"/>
                <w:szCs w:val="18"/>
              </w:rPr>
              <w:t>1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 w:rsidRPr="0030702C">
              <w:rPr>
                <w:b/>
                <w:i/>
                <w:color w:val="000000"/>
                <w:sz w:val="18"/>
                <w:szCs w:val="18"/>
                <w:highlight w:val="yellow"/>
              </w:rPr>
              <w:t>Nom de structure :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7D703D">
              <w:rPr>
                <w:b/>
                <w:i/>
                <w:color w:val="000000"/>
                <w:sz w:val="18"/>
                <w:szCs w:val="18"/>
              </w:rPr>
              <w:t>CCKB</w:t>
            </w:r>
          </w:p>
          <w:p w:rsidR="006A3AE9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Nom(s) des (de la) personne(s) : </w:t>
            </w:r>
            <w:r w:rsidR="007D703D">
              <w:rPr>
                <w:b/>
                <w:i/>
                <w:color w:val="000000"/>
                <w:sz w:val="18"/>
                <w:szCs w:val="18"/>
              </w:rPr>
              <w:t>M Hamon Eric</w:t>
            </w:r>
          </w:p>
          <w:p w:rsidR="0071098A" w:rsidRDefault="0071098A" w:rsidP="002D5375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Fonction au sein de la </w:t>
            </w:r>
            <w:r w:rsidR="006A3AE9">
              <w:rPr>
                <w:b/>
                <w:i/>
                <w:color w:val="000000"/>
                <w:sz w:val="18"/>
                <w:szCs w:val="18"/>
              </w:rPr>
              <w:t>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tructure : </w:t>
            </w:r>
            <w:r w:rsidR="007D703D" w:rsidRPr="007D703D">
              <w:rPr>
                <w:b/>
                <w:i/>
                <w:color w:val="000000"/>
                <w:sz w:val="18"/>
                <w:szCs w:val="18"/>
              </w:rPr>
              <w:t>Directeur des Services Techniques et Environnement</w:t>
            </w:r>
          </w:p>
          <w:p w:rsidR="0071098A" w:rsidRPr="008A0D6F" w:rsidRDefault="0071098A" w:rsidP="00E27BD7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Date : </w:t>
            </w:r>
            <w:r w:rsidR="00E27BD7">
              <w:rPr>
                <w:b/>
                <w:i/>
                <w:color w:val="000000"/>
                <w:sz w:val="18"/>
                <w:szCs w:val="18"/>
              </w:rPr>
              <w:t>05</w:t>
            </w:r>
            <w:r>
              <w:rPr>
                <w:b/>
                <w:i/>
                <w:color w:val="000000"/>
                <w:sz w:val="18"/>
                <w:szCs w:val="18"/>
              </w:rPr>
              <w:t>/</w:t>
            </w:r>
            <w:r w:rsidR="00E27BD7">
              <w:rPr>
                <w:b/>
                <w:i/>
                <w:color w:val="000000"/>
                <w:sz w:val="18"/>
                <w:szCs w:val="18"/>
              </w:rPr>
              <w:t>07</w:t>
            </w:r>
            <w:r>
              <w:rPr>
                <w:b/>
                <w:i/>
                <w:color w:val="000000"/>
                <w:sz w:val="18"/>
                <w:szCs w:val="18"/>
              </w:rPr>
              <w:t>/ 2017</w:t>
            </w:r>
          </w:p>
        </w:tc>
      </w:tr>
      <w:tr w:rsidR="0071098A" w:rsidRPr="00421F9E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71098A" w:rsidRDefault="0071098A" w:rsidP="002D5375">
            <w:pPr>
              <w:pStyle w:val="WW-Standard"/>
              <w:spacing w:line="264" w:lineRule="auto"/>
              <w:ind w:left="169"/>
              <w:rPr>
                <w:sz w:val="17"/>
                <w:szCs w:val="17"/>
              </w:rPr>
            </w:pPr>
            <w:r w:rsidRPr="0071098A">
              <w:rPr>
                <w:b/>
                <w:color w:val="000000"/>
                <w:sz w:val="17"/>
                <w:szCs w:val="17"/>
              </w:rPr>
              <w:t>Questions générales transversales pour valider et/ou compléter la mise à jour du contexte (freins/leviers)</w:t>
            </w: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C5539B">
              <w:rPr>
                <w:i/>
                <w:sz w:val="18"/>
                <w:szCs w:val="18"/>
              </w:rPr>
              <w:t xml:space="preserve"> (</w:t>
            </w:r>
            <w:r w:rsidR="007D703D">
              <w:rPr>
                <w:i/>
                <w:sz w:val="18"/>
                <w:szCs w:val="18"/>
              </w:rPr>
              <w:t>1</w:t>
            </w:r>
            <w:r w:rsidR="00C5539B">
              <w:rPr>
                <w:i/>
                <w:sz w:val="18"/>
                <w:szCs w:val="18"/>
              </w:rPr>
              <w:t>)</w:t>
            </w:r>
          </w:p>
          <w:p w:rsidR="007D703D" w:rsidRPr="007D703D" w:rsidRDefault="007D703D" w:rsidP="007D703D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7D703D">
              <w:rPr>
                <w:i/>
                <w:color w:val="4472C4" w:themeColor="accent5"/>
                <w:sz w:val="18"/>
                <w:szCs w:val="18"/>
              </w:rPr>
              <w:t xml:space="preserve">Plusieurs freins de type économique/réglementaire ont été relevés par le Groupe d’analyse et de concertation : parmi ceux identifiés, d’après vous quels sont les freins les plus contraignants au développement éolien ; 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Passage l’obligation d’achat vers le prix marché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Instabilité réglementaire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raccordement des éoliennes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Rupture entre les mondes (monde Etat/région : monde local ; monde des porteurs de projets)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Retombées fiscales non efficiente (échelle administrative/peu visible)  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Spéculation/inflation (coût des projets)</w:t>
            </w:r>
          </w:p>
          <w:p w:rsidR="007D703D" w:rsidRDefault="007D703D" w:rsidP="007D703D">
            <w:pPr>
              <w:pStyle w:val="WW-Standard"/>
              <w:numPr>
                <w:ilvl w:val="0"/>
                <w:numId w:val="2"/>
              </w:numPr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Consommateurs pas acteurs</w:t>
            </w:r>
          </w:p>
          <w:p w:rsid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DC7924" w:rsidRDefault="00455BF7" w:rsidP="00DC7924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</w:t>
            </w:r>
            <w:r w:rsidR="00DC7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Instabilité réglementaire (distance)</w:t>
            </w:r>
            <w:r w:rsidR="00DC7924">
              <w:rPr>
                <w:sz w:val="18"/>
                <w:szCs w:val="18"/>
              </w:rPr>
              <w:t xml:space="preserve"> avec beaucoup d’évolution, y compris sur l’existant – difficulté de développer un parc</w:t>
            </w:r>
          </w:p>
          <w:p w:rsid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DC7924" w:rsidRDefault="00455BF7" w:rsidP="00DC7924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</w:t>
            </w:r>
            <w:r w:rsidR="00DC7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Raccordement des éoliennes (pas de connaissance de</w:t>
            </w:r>
            <w:r w:rsidR="00051CF9" w:rsidRPr="00051CF9">
              <w:rPr>
                <w:color w:val="FF0000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pos</w:t>
            </w:r>
            <w:r w:rsidR="00AF27EF">
              <w:rPr>
                <w:sz w:val="18"/>
                <w:szCs w:val="18"/>
              </w:rPr>
              <w:t>sibilité</w:t>
            </w:r>
            <w:r w:rsidR="00051CF9" w:rsidRPr="00051CF9">
              <w:rPr>
                <w:color w:val="FF0000"/>
                <w:sz w:val="18"/>
                <w:szCs w:val="18"/>
              </w:rPr>
              <w:t>s</w:t>
            </w:r>
            <w:r w:rsidR="00AF27EF">
              <w:rPr>
                <w:sz w:val="18"/>
                <w:szCs w:val="18"/>
              </w:rPr>
              <w:t xml:space="preserve"> de raccordement</w:t>
            </w:r>
            <w:r w:rsidR="00051CF9" w:rsidRPr="00051CF9">
              <w:rPr>
                <w:color w:val="FF0000"/>
                <w:sz w:val="18"/>
                <w:szCs w:val="18"/>
              </w:rPr>
              <w:t xml:space="preserve"> au moment de l’étude du projet</w:t>
            </w:r>
            <w:r w:rsidR="00AF27EF">
              <w:rPr>
                <w:sz w:val="18"/>
                <w:szCs w:val="18"/>
              </w:rPr>
              <w:t xml:space="preserve">). Exemple avec le parc éolien de Perret, le </w:t>
            </w:r>
            <w:r>
              <w:rPr>
                <w:sz w:val="18"/>
                <w:szCs w:val="18"/>
              </w:rPr>
              <w:t xml:space="preserve">coût du raccordement </w:t>
            </w:r>
            <w:r w:rsidR="00AF27EF">
              <w:rPr>
                <w:sz w:val="18"/>
                <w:szCs w:val="18"/>
              </w:rPr>
              <w:t xml:space="preserve">est </w:t>
            </w:r>
            <w:r>
              <w:rPr>
                <w:sz w:val="18"/>
                <w:szCs w:val="18"/>
              </w:rPr>
              <w:t>élevé</w:t>
            </w:r>
            <w:r w:rsidR="00DC7924">
              <w:rPr>
                <w:sz w:val="18"/>
                <w:szCs w:val="18"/>
              </w:rPr>
              <w:t xml:space="preserve"> </w:t>
            </w:r>
            <w:r w:rsidR="00DC7924" w:rsidRPr="00051CF9">
              <w:rPr>
                <w:strike/>
                <w:color w:val="FF0000"/>
                <w:sz w:val="18"/>
                <w:szCs w:val="18"/>
              </w:rPr>
              <w:t>part beaucoup plus importante</w:t>
            </w:r>
            <w:r w:rsidR="00DC7924">
              <w:rPr>
                <w:sz w:val="18"/>
                <w:szCs w:val="18"/>
              </w:rPr>
              <w:t xml:space="preserve"> par rapport à ce qu</w:t>
            </w:r>
            <w:r w:rsidR="00AF27EF">
              <w:rPr>
                <w:sz w:val="18"/>
                <w:szCs w:val="18"/>
              </w:rPr>
              <w:t xml:space="preserve">e le porteur du projet </w:t>
            </w:r>
            <w:r w:rsidR="00DC7924">
              <w:rPr>
                <w:sz w:val="18"/>
                <w:szCs w:val="18"/>
              </w:rPr>
              <w:t>imaginai</w:t>
            </w:r>
            <w:r w:rsidR="00AF27EF">
              <w:rPr>
                <w:sz w:val="18"/>
                <w:szCs w:val="18"/>
              </w:rPr>
              <w:t xml:space="preserve">t, ce qui </w:t>
            </w:r>
            <w:r w:rsidR="00DC7924">
              <w:rPr>
                <w:sz w:val="18"/>
                <w:szCs w:val="18"/>
              </w:rPr>
              <w:t>impacte la rentabilité</w:t>
            </w:r>
            <w:r w:rsidR="00AF27EF">
              <w:rPr>
                <w:sz w:val="18"/>
                <w:szCs w:val="18"/>
              </w:rPr>
              <w:t xml:space="preserve"> voire la faisabilité économique du projet.</w:t>
            </w:r>
          </w:p>
          <w:p w:rsid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</w:t>
            </w:r>
            <w:r w:rsidR="00DC7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Consommateurs pas acteurs. </w:t>
            </w:r>
            <w:r w:rsidR="00AF27EF">
              <w:rPr>
                <w:sz w:val="18"/>
                <w:szCs w:val="18"/>
              </w:rPr>
              <w:t>Il y a u</w:t>
            </w:r>
            <w:r>
              <w:rPr>
                <w:sz w:val="18"/>
                <w:szCs w:val="18"/>
              </w:rPr>
              <w:t>ne méconnaissance de l’éolien</w:t>
            </w:r>
            <w:r w:rsidR="00AF27EF">
              <w:rPr>
                <w:sz w:val="18"/>
                <w:szCs w:val="18"/>
              </w:rPr>
              <w:t>.</w:t>
            </w:r>
          </w:p>
          <w:p w:rsidR="00DC7924" w:rsidRDefault="00DC7924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</w:t>
            </w:r>
            <w:r w:rsidR="00DC7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Rupture entre les mondes (monde Etat/région : monde local ; monde des porteurs de projets)</w:t>
            </w:r>
            <w:r w:rsidR="00DC792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-&gt; </w:t>
            </w:r>
            <w:r w:rsidR="00AF27EF">
              <w:rPr>
                <w:sz w:val="18"/>
                <w:szCs w:val="18"/>
              </w:rPr>
              <w:t>IL y a un c</w:t>
            </w:r>
            <w:r>
              <w:rPr>
                <w:sz w:val="18"/>
                <w:szCs w:val="18"/>
              </w:rPr>
              <w:t>loisonnement entre les acteurs</w:t>
            </w:r>
            <w:r w:rsidR="00AF27EF">
              <w:rPr>
                <w:sz w:val="18"/>
                <w:szCs w:val="18"/>
              </w:rPr>
              <w:t>. Les aspects techniques peuvent par exemple ne pas être uniquement</w:t>
            </w:r>
            <w:r w:rsidR="00051CF9">
              <w:rPr>
                <w:sz w:val="18"/>
                <w:szCs w:val="18"/>
              </w:rPr>
              <w:t xml:space="preserve"> </w:t>
            </w:r>
            <w:r w:rsidR="00AF27EF">
              <w:rPr>
                <w:sz w:val="18"/>
                <w:szCs w:val="18"/>
              </w:rPr>
              <w:t>cantonné</w:t>
            </w:r>
            <w:r w:rsidR="00051CF9" w:rsidRPr="00051CF9">
              <w:rPr>
                <w:color w:val="FF0000"/>
                <w:sz w:val="18"/>
                <w:szCs w:val="18"/>
              </w:rPr>
              <w:t>s</w:t>
            </w:r>
            <w:r w:rsidR="00AF27EF">
              <w:rPr>
                <w:sz w:val="18"/>
                <w:szCs w:val="18"/>
              </w:rPr>
              <w:t xml:space="preserve"> au porteur du projet. Les locaux peuvent aussi avoir leur mot à dire.</w:t>
            </w:r>
          </w:p>
          <w:p w:rsidR="007D703D" w:rsidRDefault="007D703D" w:rsidP="007D703D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D703D" w:rsidRDefault="007D703D" w:rsidP="007D703D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7D703D">
              <w:rPr>
                <w:i/>
                <w:color w:val="4472C4" w:themeColor="accent5"/>
                <w:sz w:val="18"/>
                <w:szCs w:val="18"/>
              </w:rPr>
              <w:t>Toujours parmi ces freins, sur lequel (lesquels), votre structure peut-elle agir ? pourquoi ? Comment</w:t>
            </w:r>
          </w:p>
          <w:p w:rsidR="00455BF7" w:rsidRDefault="00455BF7" w:rsidP="007D703D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4/Rupture entre les mondes -&gt; </w:t>
            </w:r>
            <w:r w:rsidR="00AF27EF">
              <w:rPr>
                <w:sz w:val="18"/>
                <w:szCs w:val="18"/>
              </w:rPr>
              <w:t>il faut faire entrer les collectivités dans l</w:t>
            </w:r>
            <w:r>
              <w:rPr>
                <w:sz w:val="18"/>
                <w:szCs w:val="18"/>
              </w:rPr>
              <w:t>es projets</w:t>
            </w:r>
            <w:r w:rsidR="00051CF9">
              <w:rPr>
                <w:sz w:val="18"/>
                <w:szCs w:val="18"/>
              </w:rPr>
              <w:t xml:space="preserve">, </w:t>
            </w:r>
            <w:r w:rsidR="00051CF9" w:rsidRPr="00051CF9">
              <w:rPr>
                <w:color w:val="FF0000"/>
                <w:sz w:val="18"/>
                <w:szCs w:val="18"/>
              </w:rPr>
              <w:t>dès la phase de développement.</w:t>
            </w:r>
          </w:p>
          <w:p w:rsidR="00455BF7" w:rsidRDefault="00455BF7" w:rsidP="007D703D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3/Consommateurs pas acteurs -&gt; </w:t>
            </w:r>
            <w:r w:rsidR="00AF27EF">
              <w:rPr>
                <w:sz w:val="18"/>
                <w:szCs w:val="18"/>
              </w:rPr>
              <w:t xml:space="preserve">là aussi, </w:t>
            </w:r>
            <w:r>
              <w:rPr>
                <w:sz w:val="18"/>
                <w:szCs w:val="18"/>
              </w:rPr>
              <w:t xml:space="preserve">les collectivités ont un rôle à jouer </w:t>
            </w:r>
          </w:p>
          <w:p w:rsidR="007D703D" w:rsidRPr="00CF2EF7" w:rsidRDefault="007D703D" w:rsidP="007D703D">
            <w:pPr>
              <w:pStyle w:val="WW-Standard"/>
              <w:spacing w:line="264" w:lineRule="auto"/>
              <w:ind w:left="720"/>
              <w:rPr>
                <w:sz w:val="18"/>
                <w:szCs w:val="18"/>
              </w:rPr>
            </w:pP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C5539B">
              <w:rPr>
                <w:i/>
                <w:sz w:val="18"/>
                <w:szCs w:val="18"/>
              </w:rPr>
              <w:t xml:space="preserve"> (</w:t>
            </w:r>
            <w:r w:rsidR="0030702C">
              <w:rPr>
                <w:i/>
                <w:sz w:val="18"/>
                <w:szCs w:val="18"/>
              </w:rPr>
              <w:t>3/4</w:t>
            </w:r>
            <w:r w:rsidR="00C5539B">
              <w:rPr>
                <w:i/>
                <w:sz w:val="18"/>
                <w:szCs w:val="18"/>
              </w:rPr>
              <w:t>)</w:t>
            </w:r>
          </w:p>
          <w:p w:rsidR="0030702C" w:rsidRPr="0030702C" w:rsidRDefault="00197F35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Un frein identifié par le groupe de travail est </w:t>
            </w:r>
            <w:r w:rsidR="000667FC">
              <w:rPr>
                <w:i/>
                <w:color w:val="4472C4" w:themeColor="accent5"/>
                <w:sz w:val="18"/>
                <w:szCs w:val="18"/>
              </w:rPr>
              <w:t>la subjectivité des perceptions (paysages, patrimoines)</w:t>
            </w:r>
            <w:r>
              <w:rPr>
                <w:i/>
                <w:color w:val="4472C4" w:themeColor="accent5"/>
                <w:sz w:val="18"/>
                <w:szCs w:val="18"/>
              </w:rPr>
              <w:t>. Qu’en pensez-vous ?</w:t>
            </w:r>
            <w:r w:rsidR="007D703D">
              <w:rPr>
                <w:i/>
                <w:color w:val="4472C4" w:themeColor="accent5"/>
                <w:sz w:val="18"/>
                <w:szCs w:val="18"/>
              </w:rPr>
              <w:t xml:space="preserve"> Y a-t-il des règles d’implantations à mettre en place ? 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DC7924" w:rsidRDefault="00AF27EF" w:rsidP="00DC7924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une s</w:t>
            </w:r>
            <w:r w:rsidR="00455BF7">
              <w:rPr>
                <w:sz w:val="18"/>
                <w:szCs w:val="18"/>
              </w:rPr>
              <w:t>ubjectivité entre les acteurs</w:t>
            </w:r>
            <w:r>
              <w:rPr>
                <w:sz w:val="18"/>
                <w:szCs w:val="18"/>
              </w:rPr>
              <w:t xml:space="preserve"> ; par exemple sur le projet de </w:t>
            </w:r>
            <w:proofErr w:type="spellStart"/>
            <w:r>
              <w:rPr>
                <w:sz w:val="18"/>
                <w:szCs w:val="18"/>
              </w:rPr>
              <w:t>Glomel</w:t>
            </w:r>
            <w:proofErr w:type="spellEnd"/>
            <w:r>
              <w:rPr>
                <w:sz w:val="18"/>
                <w:szCs w:val="18"/>
              </w:rPr>
              <w:t xml:space="preserve">, un service préfectoral a émis un </w:t>
            </w:r>
            <w:r w:rsidR="00455BF7">
              <w:rPr>
                <w:sz w:val="18"/>
                <w:szCs w:val="18"/>
              </w:rPr>
              <w:t xml:space="preserve">avis </w:t>
            </w:r>
            <w:r>
              <w:rPr>
                <w:sz w:val="18"/>
                <w:szCs w:val="18"/>
              </w:rPr>
              <w:t xml:space="preserve">défavorable au titre du paysage, avis (sentiment) non ressenti par la collectivité. Par ailleurs la collectivité avait fait ce travail de choix paysagers, en commission environnement et dans le cadre </w:t>
            </w:r>
            <w:proofErr w:type="gramStart"/>
            <w:r>
              <w:rPr>
                <w:sz w:val="18"/>
                <w:szCs w:val="18"/>
              </w:rPr>
              <w:t>d</w:t>
            </w:r>
            <w:r w:rsidR="00051CF9" w:rsidRPr="00051CF9">
              <w:rPr>
                <w:color w:val="FF0000"/>
                <w:sz w:val="18"/>
                <w:szCs w:val="18"/>
              </w:rPr>
              <w:t>u</w:t>
            </w:r>
            <w:r w:rsidRPr="00051CF9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schéma</w:t>
            </w:r>
            <w:r w:rsidRPr="00792F00">
              <w:rPr>
                <w:strike/>
                <w:color w:val="FF0000"/>
                <w:sz w:val="18"/>
                <w:szCs w:val="18"/>
              </w:rPr>
              <w:t>s</w:t>
            </w:r>
            <w:proofErr w:type="gramEnd"/>
            <w:r>
              <w:rPr>
                <w:sz w:val="18"/>
                <w:szCs w:val="18"/>
              </w:rPr>
              <w:t xml:space="preserve"> de développement de l’éolien (ZDE). Au final </w:t>
            </w:r>
            <w:r w:rsidR="00455BF7">
              <w:rPr>
                <w:sz w:val="18"/>
                <w:szCs w:val="18"/>
              </w:rPr>
              <w:t>la pl</w:t>
            </w:r>
            <w:r w:rsidR="00DC7924">
              <w:rPr>
                <w:sz w:val="18"/>
                <w:szCs w:val="18"/>
              </w:rPr>
              <w:t>anification permet de légitimer</w:t>
            </w:r>
            <w:r>
              <w:rPr>
                <w:sz w:val="18"/>
                <w:szCs w:val="18"/>
              </w:rPr>
              <w:t xml:space="preserve"> un choix</w:t>
            </w:r>
            <w:r w:rsidR="00DC7924">
              <w:rPr>
                <w:sz w:val="18"/>
                <w:szCs w:val="18"/>
              </w:rPr>
              <w:t xml:space="preserve">, et a permis de dépasser l’avis </w:t>
            </w:r>
            <w:r>
              <w:rPr>
                <w:sz w:val="18"/>
                <w:szCs w:val="18"/>
              </w:rPr>
              <w:t xml:space="preserve">de ce service </w:t>
            </w:r>
            <w:r w:rsidR="00DC7924">
              <w:rPr>
                <w:sz w:val="18"/>
                <w:szCs w:val="18"/>
              </w:rPr>
              <w:t>préfectoral.</w:t>
            </w:r>
            <w:r>
              <w:rPr>
                <w:sz w:val="18"/>
                <w:szCs w:val="18"/>
              </w:rPr>
              <w:t xml:space="preserve"> </w:t>
            </w:r>
            <w:r w:rsidR="00DC7924">
              <w:rPr>
                <w:sz w:val="18"/>
                <w:szCs w:val="18"/>
              </w:rPr>
              <w:t xml:space="preserve">La planification reste subjective, mais on ne peut pas l’enlever : </w:t>
            </w:r>
            <w:r w:rsidR="00792F00" w:rsidRPr="00792F00">
              <w:rPr>
                <w:color w:val="FF0000"/>
                <w:sz w:val="18"/>
                <w:szCs w:val="18"/>
              </w:rPr>
              <w:t>il</w:t>
            </w:r>
            <w:r w:rsidR="00792F00">
              <w:rPr>
                <w:sz w:val="18"/>
                <w:szCs w:val="18"/>
              </w:rPr>
              <w:t xml:space="preserve"> </w:t>
            </w:r>
            <w:r w:rsidR="00DC7924">
              <w:rPr>
                <w:sz w:val="18"/>
                <w:szCs w:val="18"/>
              </w:rPr>
              <w:t>y’aura toujours de la subjectivité sur le paysage</w:t>
            </w:r>
            <w:r>
              <w:rPr>
                <w:sz w:val="18"/>
                <w:szCs w:val="18"/>
              </w:rPr>
              <w:t>.</w:t>
            </w:r>
          </w:p>
          <w:p w:rsidR="00DC7924" w:rsidRDefault="00DC7924" w:rsidP="00DC7924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Y a-t-il des règles d’implantations à mettre en place ?</w:t>
            </w:r>
          </w:p>
          <w:p w:rsidR="00455BF7" w:rsidRDefault="00AF27EF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Non, chaque territoire a ses particularités</w:t>
            </w:r>
          </w:p>
          <w:p w:rsidR="00455BF7" w:rsidRPr="00CF2E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71098A" w:rsidRPr="00CF2EF7" w:rsidRDefault="0071098A" w:rsidP="007D703D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421F9E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4A12F3">
              <w:rPr>
                <w:i/>
                <w:sz w:val="18"/>
                <w:szCs w:val="18"/>
              </w:rPr>
              <w:t xml:space="preserve"> (</w:t>
            </w:r>
            <w:r w:rsidR="007D703D">
              <w:rPr>
                <w:i/>
                <w:sz w:val="18"/>
                <w:szCs w:val="18"/>
              </w:rPr>
              <w:t>1</w:t>
            </w:r>
            <w:r w:rsidR="004A12F3">
              <w:rPr>
                <w:i/>
                <w:sz w:val="18"/>
                <w:szCs w:val="18"/>
              </w:rPr>
              <w:t>)</w:t>
            </w:r>
          </w:p>
          <w:p w:rsidR="0092664C" w:rsidRPr="000667FC" w:rsidRDefault="000667F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Que pensez-vous des actions suivantes identifiées par le groupe de travail pour une </w:t>
            </w:r>
            <w:r w:rsidR="007D703D">
              <w:rPr>
                <w:i/>
                <w:color w:val="4472C4" w:themeColor="accent5"/>
                <w:sz w:val="18"/>
                <w:szCs w:val="18"/>
              </w:rPr>
              <w:t>production économique permettant le développement éolien (contexte 2030)</w:t>
            </w:r>
          </w:p>
          <w:p w:rsidR="007D703D" w:rsidRDefault="000667FC" w:rsidP="00455BF7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0667FC">
              <w:rPr>
                <w:i/>
                <w:color w:val="4472C4" w:themeColor="accent5"/>
                <w:sz w:val="18"/>
                <w:szCs w:val="18"/>
              </w:rPr>
              <w:t xml:space="preserve">Développer des </w:t>
            </w:r>
            <w:r w:rsidR="007D703D">
              <w:rPr>
                <w:i/>
                <w:color w:val="4472C4" w:themeColor="accent5"/>
                <w:sz w:val="18"/>
                <w:szCs w:val="18"/>
              </w:rPr>
              <w:t>nouveaux marchés coopératifs locaux</w:t>
            </w:r>
          </w:p>
          <w:p w:rsidR="007D703D" w:rsidRDefault="007D703D" w:rsidP="00455BF7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Identifier/quantifier les externalités positives</w:t>
            </w:r>
          </w:p>
          <w:p w:rsidR="007D703D" w:rsidRDefault="007D703D" w:rsidP="00455BF7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lastRenderedPageBreak/>
              <w:t>Mettre en place des formations pour les acteurs locaux</w:t>
            </w:r>
            <w:r w:rsidR="00455BF7">
              <w:rPr>
                <w:i/>
                <w:color w:val="4472C4" w:themeColor="accent5"/>
                <w:sz w:val="18"/>
                <w:szCs w:val="18"/>
              </w:rPr>
              <w:t xml:space="preserve"> : </w:t>
            </w:r>
            <w:r w:rsidR="00AF27EF" w:rsidRPr="00AF27EF">
              <w:rPr>
                <w:sz w:val="18"/>
                <w:szCs w:val="18"/>
              </w:rPr>
              <w:t xml:space="preserve">au sein de la CCKB, cela 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a </w:t>
            </w:r>
            <w:r w:rsidR="00455BF7" w:rsidRPr="00421F9E">
              <w:rPr>
                <w:color w:val="auto"/>
                <w:sz w:val="18"/>
                <w:szCs w:val="18"/>
              </w:rPr>
              <w:t xml:space="preserve">déjà 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été fait, et 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 a été fort utile à la collectivité pour comprendre les enjeux</w:t>
            </w:r>
            <w:r w:rsidR="00792F00" w:rsidRPr="00421F9E">
              <w:rPr>
                <w:color w:val="auto"/>
                <w:sz w:val="18"/>
                <w:szCs w:val="18"/>
              </w:rPr>
              <w:t>, les différentes étapes, techniques, juridiques et financières d’un projet éolien de la phase de développement à l’exploitation du parc</w:t>
            </w:r>
          </w:p>
          <w:p w:rsidR="007D703D" w:rsidRDefault="007D703D" w:rsidP="00455BF7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Favoriser la participation financière des collectivités dans les projets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455BF7" w:rsidRPr="00421F9E" w:rsidRDefault="00455BF7" w:rsidP="00455BF7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color w:val="auto"/>
                <w:sz w:val="18"/>
                <w:szCs w:val="18"/>
              </w:rPr>
            </w:pPr>
            <w:r w:rsidRPr="00455BF7">
              <w:rPr>
                <w:sz w:val="18"/>
                <w:szCs w:val="18"/>
              </w:rPr>
              <w:t>Développer des nouveaux marchés coopératifs locaux</w:t>
            </w:r>
            <w:r>
              <w:rPr>
                <w:sz w:val="18"/>
                <w:szCs w:val="18"/>
              </w:rPr>
              <w:t xml:space="preserve"> : </w:t>
            </w:r>
            <w:r w:rsidR="00792F00" w:rsidRPr="00421F9E">
              <w:rPr>
                <w:sz w:val="18"/>
                <w:szCs w:val="18"/>
              </w:rPr>
              <w:t xml:space="preserve">il existe déjà </w:t>
            </w:r>
            <w:r w:rsidR="00792F00">
              <w:rPr>
                <w:sz w:val="18"/>
                <w:szCs w:val="18"/>
              </w:rPr>
              <w:t xml:space="preserve">des consommateurs qui se </w:t>
            </w:r>
            <w:r w:rsidR="00792F00" w:rsidRPr="00421F9E">
              <w:rPr>
                <w:sz w:val="18"/>
                <w:szCs w:val="18"/>
              </w:rPr>
              <w:t>regroupent</w:t>
            </w:r>
            <w:r w:rsidR="00792F00">
              <w:rPr>
                <w:sz w:val="18"/>
                <w:szCs w:val="18"/>
              </w:rPr>
              <w:t xml:space="preserve"> </w:t>
            </w:r>
            <w:r w:rsidR="00792F00" w:rsidRPr="00421F9E">
              <w:rPr>
                <w:sz w:val="18"/>
                <w:szCs w:val="18"/>
              </w:rPr>
              <w:t>pour</w:t>
            </w:r>
            <w:r w:rsidR="00792F0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mettre en place une coopérative pour </w:t>
            </w:r>
            <w:r w:rsidRPr="00421F9E">
              <w:rPr>
                <w:color w:val="auto"/>
                <w:sz w:val="18"/>
                <w:szCs w:val="18"/>
              </w:rPr>
              <w:t xml:space="preserve">produire des </w:t>
            </w:r>
            <w:proofErr w:type="spellStart"/>
            <w:r w:rsidRPr="00421F9E">
              <w:rPr>
                <w:color w:val="auto"/>
                <w:sz w:val="18"/>
                <w:szCs w:val="18"/>
              </w:rPr>
              <w:t>Kwh</w:t>
            </w:r>
            <w:proofErr w:type="spellEnd"/>
            <w:r w:rsidRPr="00421F9E">
              <w:rPr>
                <w:color w:val="auto"/>
                <w:sz w:val="18"/>
                <w:szCs w:val="18"/>
              </w:rPr>
              <w:t xml:space="preserve"> qu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’elle </w:t>
            </w:r>
            <w:r w:rsidRPr="00421F9E">
              <w:rPr>
                <w:color w:val="auto"/>
                <w:sz w:val="18"/>
                <w:szCs w:val="18"/>
              </w:rPr>
              <w:t>revendr</w:t>
            </w:r>
            <w:r w:rsidR="00792F00" w:rsidRPr="00421F9E">
              <w:rPr>
                <w:color w:val="auto"/>
                <w:sz w:val="18"/>
                <w:szCs w:val="18"/>
              </w:rPr>
              <w:t>a</w:t>
            </w:r>
            <w:r w:rsidRPr="00421F9E">
              <w:rPr>
                <w:color w:val="auto"/>
                <w:sz w:val="18"/>
                <w:szCs w:val="18"/>
              </w:rPr>
              <w:t xml:space="preserve"> 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à ses </w:t>
            </w:r>
            <w:r w:rsidRPr="00421F9E">
              <w:rPr>
                <w:color w:val="auto"/>
                <w:sz w:val="18"/>
                <w:szCs w:val="18"/>
              </w:rPr>
              <w:t>adhérents.</w:t>
            </w:r>
          </w:p>
          <w:p w:rsidR="00455BF7" w:rsidRDefault="00455BF7" w:rsidP="00455BF7">
            <w:pPr>
              <w:pStyle w:val="WW-Standard"/>
              <w:numPr>
                <w:ilvl w:val="0"/>
                <w:numId w:val="3"/>
              </w:numPr>
              <w:spacing w:line="264" w:lineRule="auto"/>
              <w:rPr>
                <w:sz w:val="18"/>
                <w:szCs w:val="18"/>
              </w:rPr>
            </w:pPr>
            <w:r w:rsidRPr="00455BF7">
              <w:rPr>
                <w:sz w:val="18"/>
                <w:szCs w:val="18"/>
              </w:rPr>
              <w:t>Favoriser la participation financière des collectivités dans les projets</w:t>
            </w:r>
            <w:r>
              <w:rPr>
                <w:sz w:val="18"/>
                <w:szCs w:val="18"/>
              </w:rPr>
              <w:t> : sous la forme d’implication directe des collectivités/développer des coopératives</w:t>
            </w:r>
          </w:p>
          <w:p w:rsidR="00DC7924" w:rsidRDefault="00DC7924" w:rsidP="00DC7924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455BF7" w:rsidRPr="00455BF7" w:rsidRDefault="00455BF7" w:rsidP="00455BF7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455BF7">
              <w:rPr>
                <w:i/>
                <w:color w:val="4472C4" w:themeColor="accent5"/>
                <w:sz w:val="18"/>
                <w:szCs w:val="18"/>
              </w:rPr>
              <w:t>Identifier/quantifier les externalités positives une des conséquences de la participation ?</w:t>
            </w:r>
            <w:r>
              <w:rPr>
                <w:sz w:val="18"/>
                <w:szCs w:val="18"/>
              </w:rPr>
              <w:t xml:space="preserve"> Certainement</w:t>
            </w:r>
          </w:p>
          <w:p w:rsidR="00455BF7" w:rsidRDefault="00455BF7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455BF7" w:rsidRDefault="00455BF7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455BF7">
              <w:rPr>
                <w:i/>
                <w:color w:val="4472C4" w:themeColor="accent5"/>
                <w:sz w:val="18"/>
                <w:szCs w:val="18"/>
              </w:rPr>
              <w:t>Y a-t-il un manque de moyens (accès au</w:t>
            </w:r>
            <w:r>
              <w:rPr>
                <w:i/>
                <w:color w:val="4472C4" w:themeColor="accent5"/>
                <w:sz w:val="18"/>
                <w:szCs w:val="18"/>
              </w:rPr>
              <w:t>x</w:t>
            </w:r>
            <w:r w:rsidRPr="00455BF7">
              <w:rPr>
                <w:i/>
                <w:color w:val="4472C4" w:themeColor="accent5"/>
                <w:sz w:val="18"/>
                <w:szCs w:val="18"/>
              </w:rPr>
              <w:t xml:space="preserve"> banques, financièrement) pour développement l’éolien par des acteurs publics ?</w:t>
            </w:r>
            <w:r>
              <w:rPr>
                <w:sz w:val="18"/>
                <w:szCs w:val="18"/>
              </w:rPr>
              <w:t xml:space="preserve"> </w:t>
            </w:r>
          </w:p>
          <w:p w:rsidR="00835215" w:rsidRDefault="00835215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Peut-être </w:t>
            </w:r>
            <w:r w:rsidR="00AF27EF">
              <w:rPr>
                <w:sz w:val="18"/>
                <w:szCs w:val="18"/>
              </w:rPr>
              <w:t xml:space="preserve">que </w:t>
            </w:r>
            <w:r>
              <w:rPr>
                <w:sz w:val="18"/>
                <w:szCs w:val="18"/>
              </w:rPr>
              <w:t>le problème est un manque de connaissance de ces possibilités de financement, plus que de capacité</w:t>
            </w:r>
          </w:p>
          <w:p w:rsidR="00455BF7" w:rsidRPr="00421F9E" w:rsidRDefault="00455BF7" w:rsidP="002D5375">
            <w:pPr>
              <w:pStyle w:val="WW-Standard"/>
              <w:spacing w:line="264" w:lineRule="auto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Pour les particuliers, y a un </w:t>
            </w:r>
            <w:r w:rsidR="00AF27EF">
              <w:rPr>
                <w:sz w:val="18"/>
                <w:szCs w:val="18"/>
              </w:rPr>
              <w:t>développement</w:t>
            </w:r>
            <w:r>
              <w:rPr>
                <w:sz w:val="18"/>
                <w:szCs w:val="18"/>
              </w:rPr>
              <w:t xml:space="preserve"> des plateformes participatives. </w:t>
            </w:r>
            <w:r w:rsidR="00135206">
              <w:rPr>
                <w:sz w:val="18"/>
                <w:szCs w:val="18"/>
              </w:rPr>
              <w:t xml:space="preserve">Les </w:t>
            </w:r>
            <w:bookmarkStart w:id="0" w:name="_GoBack"/>
            <w:r w:rsidR="00135206" w:rsidRPr="00421F9E">
              <w:rPr>
                <w:color w:val="auto"/>
                <w:sz w:val="18"/>
                <w:szCs w:val="18"/>
              </w:rPr>
              <w:t xml:space="preserve">gens 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qui investissent le </w:t>
            </w:r>
            <w:r w:rsidR="00135206" w:rsidRPr="00421F9E">
              <w:rPr>
                <w:color w:val="auto"/>
                <w:sz w:val="18"/>
                <w:szCs w:val="18"/>
              </w:rPr>
              <w:t>font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 : </w:t>
            </w:r>
            <w:r w:rsidR="00AF27EF" w:rsidRPr="00421F9E">
              <w:rPr>
                <w:color w:val="auto"/>
                <w:sz w:val="18"/>
                <w:szCs w:val="18"/>
              </w:rPr>
              <w:t>soit</w:t>
            </w:r>
            <w:r w:rsidR="00792F00" w:rsidRPr="00421F9E">
              <w:rPr>
                <w:color w:val="auto"/>
                <w:sz w:val="18"/>
                <w:szCs w:val="18"/>
              </w:rPr>
              <w:t>,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 ils </w:t>
            </w:r>
            <w:r w:rsidR="00135206" w:rsidRPr="00421F9E">
              <w:rPr>
                <w:color w:val="auto"/>
                <w:sz w:val="18"/>
                <w:szCs w:val="18"/>
              </w:rPr>
              <w:t>connaissent</w:t>
            </w:r>
            <w:r w:rsidR="00DC7924" w:rsidRPr="00421F9E">
              <w:rPr>
                <w:color w:val="auto"/>
                <w:sz w:val="18"/>
                <w:szCs w:val="18"/>
              </w:rPr>
              <w:t xml:space="preserve"> </w:t>
            </w:r>
            <w:r w:rsidR="00AF27EF" w:rsidRPr="00421F9E">
              <w:rPr>
                <w:color w:val="auto"/>
                <w:sz w:val="18"/>
                <w:szCs w:val="18"/>
              </w:rPr>
              <w:t>déjà l’intérêt des</w:t>
            </w:r>
            <w:r w:rsidR="00DC7924" w:rsidRPr="00421F9E">
              <w:rPr>
                <w:color w:val="auto"/>
                <w:sz w:val="18"/>
                <w:szCs w:val="18"/>
              </w:rPr>
              <w:t xml:space="preserve"> énergies renouvelables</w:t>
            </w:r>
            <w:r w:rsidR="00135206" w:rsidRPr="00421F9E">
              <w:rPr>
                <w:color w:val="auto"/>
                <w:sz w:val="18"/>
                <w:szCs w:val="18"/>
              </w:rPr>
              <w:t xml:space="preserve"> 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(forme de militantisme), soit </w:t>
            </w:r>
            <w:r w:rsidR="00792F00" w:rsidRPr="00421F9E">
              <w:rPr>
                <w:color w:val="auto"/>
                <w:sz w:val="18"/>
                <w:szCs w:val="18"/>
              </w:rPr>
              <w:t>ils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 habite</w:t>
            </w:r>
            <w:r w:rsidR="00792F00" w:rsidRPr="00421F9E">
              <w:rPr>
                <w:color w:val="auto"/>
                <w:sz w:val="18"/>
                <w:szCs w:val="18"/>
              </w:rPr>
              <w:t>nt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 sur le territoire en question. </w:t>
            </w:r>
          </w:p>
          <w:bookmarkEnd w:id="0"/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4A12F3">
              <w:rPr>
                <w:i/>
                <w:sz w:val="18"/>
                <w:szCs w:val="18"/>
              </w:rPr>
              <w:t xml:space="preserve"> (</w:t>
            </w:r>
            <w:r w:rsidR="00197F35">
              <w:rPr>
                <w:i/>
                <w:sz w:val="18"/>
                <w:szCs w:val="18"/>
              </w:rPr>
              <w:t>3/4</w:t>
            </w:r>
            <w:r w:rsidR="004A12F3">
              <w:rPr>
                <w:i/>
                <w:sz w:val="18"/>
                <w:szCs w:val="18"/>
              </w:rPr>
              <w:t>)</w:t>
            </w:r>
          </w:p>
          <w:p w:rsidR="007D703D" w:rsidRDefault="000667FC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Quel regard portez-vous sur le principe de faciliter les acquisitions foncières ? 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835215" w:rsidRDefault="00835215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135206" w:rsidRDefault="00835215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l’a fait sur d’autres thématiques, donc e</w:t>
            </w:r>
            <w:r w:rsidR="00AF27EF">
              <w:rPr>
                <w:sz w:val="18"/>
                <w:szCs w:val="18"/>
              </w:rPr>
              <w:t xml:space="preserve">ffectivement c’est intéressant. On peut imaginer le faire sur les </w:t>
            </w:r>
            <w:r w:rsidR="00135206">
              <w:rPr>
                <w:sz w:val="18"/>
                <w:szCs w:val="18"/>
              </w:rPr>
              <w:t xml:space="preserve">ZDE par exemple. </w:t>
            </w:r>
            <w:r w:rsidR="00AF27EF">
              <w:rPr>
                <w:sz w:val="18"/>
                <w:szCs w:val="18"/>
              </w:rPr>
              <w:t>A vrai dire, l</w:t>
            </w:r>
            <w:r w:rsidR="00135206">
              <w:rPr>
                <w:sz w:val="18"/>
                <w:szCs w:val="18"/>
              </w:rPr>
              <w:t>es coll</w:t>
            </w:r>
            <w:r w:rsidR="00DC7924">
              <w:rPr>
                <w:sz w:val="18"/>
                <w:szCs w:val="18"/>
              </w:rPr>
              <w:t xml:space="preserve">ectivités </w:t>
            </w:r>
            <w:r w:rsidR="00AF27EF">
              <w:rPr>
                <w:sz w:val="18"/>
                <w:szCs w:val="18"/>
              </w:rPr>
              <w:t>n’auraient-elles</w:t>
            </w:r>
            <w:r w:rsidR="00DC7924">
              <w:rPr>
                <w:sz w:val="18"/>
                <w:szCs w:val="18"/>
              </w:rPr>
              <w:t xml:space="preserve"> pas dû</w:t>
            </w:r>
            <w:r w:rsidR="00135206">
              <w:rPr>
                <w:sz w:val="18"/>
                <w:szCs w:val="18"/>
              </w:rPr>
              <w:t xml:space="preserve"> réfléchir à cette question </w:t>
            </w:r>
            <w:r w:rsidR="00AF27EF">
              <w:rPr>
                <w:sz w:val="18"/>
                <w:szCs w:val="18"/>
              </w:rPr>
              <w:t xml:space="preserve">au préalable de l’installation d’un parc éolien </w:t>
            </w:r>
            <w:r w:rsidR="00135206" w:rsidRPr="00421F9E">
              <w:rPr>
                <w:color w:val="auto"/>
                <w:sz w:val="18"/>
                <w:szCs w:val="18"/>
              </w:rPr>
              <w:t xml:space="preserve">? 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De même, </w:t>
            </w:r>
            <w:r w:rsidR="00135206" w:rsidRPr="00421F9E">
              <w:rPr>
                <w:color w:val="auto"/>
                <w:sz w:val="18"/>
                <w:szCs w:val="18"/>
              </w:rPr>
              <w:t xml:space="preserve">elles l’ont fait sur des 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espaces naturels </w:t>
            </w:r>
            <w:r w:rsidR="00135206" w:rsidRPr="00421F9E">
              <w:rPr>
                <w:color w:val="auto"/>
                <w:sz w:val="18"/>
                <w:szCs w:val="18"/>
              </w:rPr>
              <w:t>sensibles avec une réflexion avec le Département.</w:t>
            </w:r>
            <w:r w:rsidR="00AF27EF" w:rsidRPr="00421F9E">
              <w:rPr>
                <w:color w:val="auto"/>
                <w:sz w:val="18"/>
                <w:szCs w:val="18"/>
              </w:rPr>
              <w:t xml:space="preserve"> </w:t>
            </w:r>
            <w:r w:rsidR="00135206" w:rsidRPr="00421F9E">
              <w:rPr>
                <w:color w:val="auto"/>
                <w:sz w:val="18"/>
                <w:szCs w:val="18"/>
              </w:rPr>
              <w:t xml:space="preserve">L’établissement 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public </w:t>
            </w:r>
            <w:r w:rsidR="00135206" w:rsidRPr="00421F9E">
              <w:rPr>
                <w:color w:val="auto"/>
                <w:sz w:val="18"/>
                <w:szCs w:val="18"/>
              </w:rPr>
              <w:t>foncier breton</w:t>
            </w:r>
            <w:r w:rsidR="00135206" w:rsidRPr="00421F9E">
              <w:rPr>
                <w:strike/>
                <w:color w:val="auto"/>
                <w:sz w:val="18"/>
                <w:szCs w:val="18"/>
              </w:rPr>
              <w:t xml:space="preserve"> </w:t>
            </w:r>
            <w:r w:rsidR="00135206" w:rsidRPr="00421F9E">
              <w:rPr>
                <w:color w:val="auto"/>
                <w:sz w:val="18"/>
                <w:szCs w:val="18"/>
              </w:rPr>
              <w:t xml:space="preserve">pourrait être </w:t>
            </w:r>
            <w:r w:rsidR="00792F00" w:rsidRPr="00421F9E">
              <w:rPr>
                <w:color w:val="auto"/>
                <w:sz w:val="18"/>
                <w:szCs w:val="18"/>
              </w:rPr>
              <w:t xml:space="preserve">sollicité. </w:t>
            </w: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 w:rsidRPr="00AF27EF">
              <w:rPr>
                <w:i/>
                <w:color w:val="4472C4" w:themeColor="accent5"/>
                <w:sz w:val="18"/>
                <w:szCs w:val="18"/>
              </w:rPr>
              <w:t>Sur les aspects « maisons »</w:t>
            </w:r>
            <w:r>
              <w:rPr>
                <w:sz w:val="18"/>
                <w:szCs w:val="18"/>
              </w:rPr>
              <w:t xml:space="preserve"> : </w:t>
            </w:r>
            <w:r w:rsidR="00AF27EF">
              <w:rPr>
                <w:sz w:val="18"/>
                <w:szCs w:val="18"/>
              </w:rPr>
              <w:t xml:space="preserve">c’est un </w:t>
            </w:r>
            <w:r>
              <w:rPr>
                <w:sz w:val="18"/>
                <w:szCs w:val="18"/>
              </w:rPr>
              <w:t>débat</w:t>
            </w:r>
            <w:r w:rsidR="00AF27EF">
              <w:rPr>
                <w:sz w:val="18"/>
                <w:szCs w:val="18"/>
              </w:rPr>
              <w:t xml:space="preserve">. Doit-on </w:t>
            </w:r>
            <w:r>
              <w:rPr>
                <w:sz w:val="18"/>
                <w:szCs w:val="18"/>
              </w:rPr>
              <w:t>vide</w:t>
            </w:r>
            <w:r w:rsidR="00AF27EF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 le Centre Bretagne de ses habitations ? ça interpelle. </w:t>
            </w:r>
          </w:p>
          <w:p w:rsidR="0071098A" w:rsidRPr="00CF2EF7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135206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92664C" w:rsidRDefault="007D703D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 xml:space="preserve">D’après vous, doit-on prioriser les contraintes/enjeux ? </w:t>
            </w:r>
          </w:p>
          <w:p w:rsidR="0071098A" w:rsidRDefault="0071098A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discussion sur la subjectivité va peut-être se reposer.</w:t>
            </w: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71098A" w:rsidRPr="00135206" w:rsidRDefault="00135206" w:rsidP="002D5375">
            <w:pPr>
              <w:pStyle w:val="WW-Standard"/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 w:rsidRPr="00135206">
              <w:rPr>
                <w:i/>
                <w:color w:val="4472C4" w:themeColor="accent5"/>
                <w:sz w:val="18"/>
                <w:szCs w:val="18"/>
              </w:rPr>
              <w:t xml:space="preserve">Quelle est l’action pour </w:t>
            </w:r>
            <w:r w:rsidR="00AF27EF" w:rsidRPr="00135206">
              <w:rPr>
                <w:i/>
                <w:color w:val="4472C4" w:themeColor="accent5"/>
                <w:sz w:val="18"/>
                <w:szCs w:val="18"/>
              </w:rPr>
              <w:t>dév</w:t>
            </w:r>
            <w:r w:rsidR="00AF27EF">
              <w:rPr>
                <w:i/>
                <w:color w:val="4472C4" w:themeColor="accent5"/>
                <w:sz w:val="18"/>
                <w:szCs w:val="18"/>
              </w:rPr>
              <w:t xml:space="preserve">elopper </w:t>
            </w:r>
            <w:r w:rsidRPr="00135206">
              <w:rPr>
                <w:i/>
                <w:color w:val="4472C4" w:themeColor="accent5"/>
                <w:sz w:val="18"/>
                <w:szCs w:val="18"/>
              </w:rPr>
              <w:t xml:space="preserve"> l’action de la </w:t>
            </w:r>
            <w:r w:rsidR="00AF27EF">
              <w:rPr>
                <w:i/>
                <w:color w:val="4472C4" w:themeColor="accent5"/>
                <w:sz w:val="18"/>
                <w:szCs w:val="18"/>
              </w:rPr>
              <w:t xml:space="preserve">collectivité </w:t>
            </w:r>
            <w:r w:rsidRPr="00135206">
              <w:rPr>
                <w:i/>
                <w:color w:val="4472C4" w:themeColor="accent5"/>
                <w:sz w:val="18"/>
                <w:szCs w:val="18"/>
              </w:rPr>
              <w:t xml:space="preserve">dans le </w:t>
            </w:r>
            <w:r w:rsidR="00AF27EF" w:rsidRPr="00135206">
              <w:rPr>
                <w:i/>
                <w:color w:val="4472C4" w:themeColor="accent5"/>
                <w:sz w:val="18"/>
                <w:szCs w:val="18"/>
              </w:rPr>
              <w:t>dév</w:t>
            </w:r>
            <w:r w:rsidR="00AF27EF">
              <w:rPr>
                <w:i/>
                <w:color w:val="4472C4" w:themeColor="accent5"/>
                <w:sz w:val="18"/>
                <w:szCs w:val="18"/>
              </w:rPr>
              <w:t xml:space="preserve">eloppement de </w:t>
            </w:r>
            <w:proofErr w:type="gramStart"/>
            <w:r w:rsidR="00AF27EF">
              <w:rPr>
                <w:i/>
                <w:color w:val="4472C4" w:themeColor="accent5"/>
                <w:sz w:val="18"/>
                <w:szCs w:val="18"/>
              </w:rPr>
              <w:t>l’</w:t>
            </w:r>
            <w:r w:rsidRPr="00135206">
              <w:rPr>
                <w:i/>
                <w:color w:val="4472C4" w:themeColor="accent5"/>
                <w:sz w:val="18"/>
                <w:szCs w:val="18"/>
              </w:rPr>
              <w:t xml:space="preserve"> éolien</w:t>
            </w:r>
            <w:proofErr w:type="gramEnd"/>
            <w:r w:rsidRPr="00135206">
              <w:rPr>
                <w:i/>
                <w:color w:val="4472C4" w:themeColor="accent5"/>
                <w:sz w:val="18"/>
                <w:szCs w:val="18"/>
              </w:rPr>
              <w:t xml:space="preserve"> ? </w:t>
            </w: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formation</w:t>
            </w: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135206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135206" w:rsidRPr="00CF2EF7" w:rsidRDefault="00135206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421F9E" w:rsidTr="002D5375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71098A" w:rsidRPr="00135439" w:rsidRDefault="0071098A" w:rsidP="002D5375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« si</w:t>
            </w:r>
            <w:r w:rsidR="001D268B">
              <w:rPr>
                <w:i/>
                <w:sz w:val="18"/>
                <w:szCs w:val="18"/>
              </w:rPr>
              <w:t xml:space="preserve"> les</w:t>
            </w:r>
            <w:r w:rsidRPr="0075556E">
              <w:rPr>
                <w:i/>
                <w:sz w:val="18"/>
                <w:szCs w:val="18"/>
              </w:rPr>
              <w:t xml:space="preserve"> action</w:t>
            </w:r>
            <w:r w:rsidR="001D268B">
              <w:rPr>
                <w:i/>
                <w:sz w:val="18"/>
                <w:szCs w:val="18"/>
              </w:rPr>
              <w:t>s suivantes</w:t>
            </w:r>
            <w:r w:rsidRPr="0075556E">
              <w:rPr>
                <w:i/>
                <w:sz w:val="18"/>
                <w:szCs w:val="18"/>
              </w:rPr>
              <w:t xml:space="preserve"> serai</w:t>
            </w:r>
            <w:r w:rsidR="001D268B">
              <w:rPr>
                <w:i/>
                <w:sz w:val="18"/>
                <w:szCs w:val="18"/>
              </w:rPr>
              <w:t>en</w:t>
            </w:r>
            <w:r w:rsidRPr="0075556E">
              <w:rPr>
                <w:i/>
                <w:sz w:val="18"/>
                <w:szCs w:val="18"/>
              </w:rPr>
              <w:t>t conservée dans la Feuille de de route, quelle serait la place et l’engagement de votre structure dans l’action » ?</w:t>
            </w:r>
          </w:p>
          <w:p w:rsidR="001D268B" w:rsidRPr="000667FC" w:rsidRDefault="007D703D" w:rsidP="00B02FD1">
            <w:pPr>
              <w:pStyle w:val="WW-Standard"/>
              <w:numPr>
                <w:ilvl w:val="0"/>
                <w:numId w:val="1"/>
              </w:numPr>
              <w:spacing w:line="264" w:lineRule="auto"/>
              <w:rPr>
                <w:i/>
                <w:color w:val="4472C4" w:themeColor="accent5"/>
                <w:sz w:val="18"/>
                <w:szCs w:val="18"/>
              </w:rPr>
            </w:pPr>
            <w:r>
              <w:rPr>
                <w:i/>
                <w:color w:val="4472C4" w:themeColor="accent5"/>
                <w:sz w:val="18"/>
                <w:szCs w:val="18"/>
              </w:rPr>
              <w:t>Expérimentations locales (ex : fiscalité, participatives, réglementaire,…)</w:t>
            </w:r>
          </w:p>
          <w:p w:rsidR="000667FC" w:rsidRPr="000667FC" w:rsidRDefault="00F41ADE" w:rsidP="007D703D">
            <w:pPr>
              <w:pStyle w:val="WW-Standard"/>
              <w:spacing w:line="264" w:lineRule="auto"/>
              <w:ind w:left="720"/>
              <w:rPr>
                <w:i/>
                <w:color w:val="4472C4" w:themeColor="accent5"/>
                <w:sz w:val="18"/>
                <w:szCs w:val="18"/>
              </w:rPr>
            </w:pPr>
            <w:r w:rsidRPr="00F41ADE">
              <w:rPr>
                <w:sz w:val="18"/>
                <w:szCs w:val="18"/>
              </w:rPr>
              <w:t>.</w:t>
            </w:r>
          </w:p>
          <w:p w:rsidR="0071098A" w:rsidRDefault="00AF27EF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Oui. A noter que la collectivité le fait </w:t>
            </w:r>
            <w:r w:rsidR="0033185D">
              <w:rPr>
                <w:sz w:val="18"/>
                <w:szCs w:val="18"/>
              </w:rPr>
              <w:t>déjà dans le cadre du réseau Tara</w:t>
            </w:r>
            <w:r w:rsidR="00835215">
              <w:rPr>
                <w:sz w:val="18"/>
                <w:szCs w:val="18"/>
              </w:rPr>
              <w:t>n</w:t>
            </w:r>
            <w:r w:rsidR="0033185D">
              <w:rPr>
                <w:sz w:val="18"/>
                <w:szCs w:val="18"/>
              </w:rPr>
              <w:t>is.</w:t>
            </w:r>
            <w:r w:rsidR="00A55294">
              <w:rPr>
                <w:sz w:val="18"/>
                <w:szCs w:val="18"/>
              </w:rPr>
              <w:t xml:space="preserve"> </w:t>
            </w:r>
          </w:p>
          <w:p w:rsidR="00A55294" w:rsidRDefault="00A55294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  <w:p w:rsidR="00A55294" w:rsidRPr="00CF2EF7" w:rsidRDefault="00A55294" w:rsidP="002D5375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RPr="00421F9E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71098A" w:rsidRPr="00CF2EF7" w:rsidRDefault="0071098A" w:rsidP="007D703D">
            <w:pPr>
              <w:pStyle w:val="WW-Standard"/>
              <w:spacing w:line="264" w:lineRule="auto"/>
              <w:rPr>
                <w:sz w:val="18"/>
                <w:szCs w:val="18"/>
              </w:rPr>
            </w:pPr>
          </w:p>
        </w:tc>
      </w:tr>
      <w:tr w:rsidR="0071098A" w:rsidTr="002D537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1098A" w:rsidRDefault="0071098A" w:rsidP="002D5375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1098A" w:rsidRPr="0075556E" w:rsidRDefault="0071098A" w:rsidP="002D5375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71098A" w:rsidRPr="00CF2EF7" w:rsidRDefault="0071098A" w:rsidP="007D703D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</w:tbl>
    <w:p w:rsidR="00A366BC" w:rsidRDefault="00A366BC" w:rsidP="0033185D"/>
    <w:sectPr w:rsidR="00A366BC" w:rsidSect="00F70F9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85B" w:rsidRDefault="00AA685B" w:rsidP="00F70F95">
      <w:r>
        <w:separator/>
      </w:r>
    </w:p>
  </w:endnote>
  <w:endnote w:type="continuationSeparator" w:id="0">
    <w:p w:rsidR="00AA685B" w:rsidRDefault="00AA685B" w:rsidP="00F7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85B" w:rsidRDefault="00AA685B" w:rsidP="00F70F95">
      <w:r>
        <w:separator/>
      </w:r>
    </w:p>
  </w:footnote>
  <w:footnote w:type="continuationSeparator" w:id="0">
    <w:p w:rsidR="00AA685B" w:rsidRDefault="00AA685B" w:rsidP="00F70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4F0F"/>
    <w:multiLevelType w:val="hybridMultilevel"/>
    <w:tmpl w:val="7AA80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215CB"/>
    <w:multiLevelType w:val="hybridMultilevel"/>
    <w:tmpl w:val="8574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82E66"/>
    <w:multiLevelType w:val="hybridMultilevel"/>
    <w:tmpl w:val="77022B1A"/>
    <w:lvl w:ilvl="0" w:tplc="B5225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B1F94"/>
    <w:multiLevelType w:val="hybridMultilevel"/>
    <w:tmpl w:val="FD0431B0"/>
    <w:lvl w:ilvl="0" w:tplc="A5A075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98A"/>
    <w:rsid w:val="00051CF9"/>
    <w:rsid w:val="000667FC"/>
    <w:rsid w:val="000B7F2A"/>
    <w:rsid w:val="00135206"/>
    <w:rsid w:val="00197F35"/>
    <w:rsid w:val="001C4126"/>
    <w:rsid w:val="001D268B"/>
    <w:rsid w:val="0030702C"/>
    <w:rsid w:val="0033185D"/>
    <w:rsid w:val="003505A0"/>
    <w:rsid w:val="00421F9E"/>
    <w:rsid w:val="00455BF7"/>
    <w:rsid w:val="004A12F3"/>
    <w:rsid w:val="006A3AE9"/>
    <w:rsid w:val="006E05A0"/>
    <w:rsid w:val="0071098A"/>
    <w:rsid w:val="00792F00"/>
    <w:rsid w:val="007B5F4A"/>
    <w:rsid w:val="007D703D"/>
    <w:rsid w:val="00816F12"/>
    <w:rsid w:val="00835215"/>
    <w:rsid w:val="00840497"/>
    <w:rsid w:val="008D7F95"/>
    <w:rsid w:val="0092664C"/>
    <w:rsid w:val="00A366BC"/>
    <w:rsid w:val="00A55294"/>
    <w:rsid w:val="00AA685B"/>
    <w:rsid w:val="00AB21A2"/>
    <w:rsid w:val="00AF27EF"/>
    <w:rsid w:val="00B02FD1"/>
    <w:rsid w:val="00B14498"/>
    <w:rsid w:val="00B4252E"/>
    <w:rsid w:val="00C5539B"/>
    <w:rsid w:val="00CE3DB7"/>
    <w:rsid w:val="00DA3622"/>
    <w:rsid w:val="00DC7924"/>
    <w:rsid w:val="00E27BD7"/>
    <w:rsid w:val="00F41ADE"/>
    <w:rsid w:val="00F70F95"/>
    <w:rsid w:val="00F87D97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71098A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table" w:styleId="Grilledutableau">
    <w:name w:val="Table Grid"/>
    <w:basedOn w:val="TableauNormal"/>
    <w:rsid w:val="0071098A"/>
    <w:pPr>
      <w:spacing w:after="0" w:line="240" w:lineRule="auto"/>
    </w:pPr>
    <w:rPr>
      <w:rFonts w:ascii="Times New Roman" w:eastAsia="Andale Sans UI" w:hAnsi="Times New Roman" w:cs="Tahom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A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AE9"/>
    <w:rPr>
      <w:rFonts w:ascii="Segoe UI" w:eastAsia="Andale Sans UI" w:hAnsi="Segoe UI" w:cs="Segoe UI"/>
      <w:kern w:val="3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70F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0F95"/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70F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0F95"/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W-Standard">
    <w:name w:val="WW-Standard"/>
    <w:uiPriority w:val="99"/>
    <w:rsid w:val="0071098A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table" w:styleId="Grilledutableau">
    <w:name w:val="Table Grid"/>
    <w:basedOn w:val="TableauNormal"/>
    <w:rsid w:val="0071098A"/>
    <w:pPr>
      <w:spacing w:after="0" w:line="240" w:lineRule="auto"/>
    </w:pPr>
    <w:rPr>
      <w:rFonts w:ascii="Times New Roman" w:eastAsia="Andale Sans UI" w:hAnsi="Times New Roman" w:cs="Tahom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A3A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3AE9"/>
    <w:rPr>
      <w:rFonts w:ascii="Segoe UI" w:eastAsia="Andale Sans UI" w:hAnsi="Segoe UI" w:cs="Segoe UI"/>
      <w:kern w:val="3"/>
      <w:sz w:val="18"/>
      <w:szCs w:val="1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70F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70F95"/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70F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0F95"/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LALLEMAND Louis</dc:creator>
  <cp:keywords/>
  <dc:description/>
  <cp:lastModifiedBy>Florent EPIARD</cp:lastModifiedBy>
  <cp:revision>3</cp:revision>
  <cp:lastPrinted>2017-05-23T08:00:00Z</cp:lastPrinted>
  <dcterms:created xsi:type="dcterms:W3CDTF">2017-07-10T15:02:00Z</dcterms:created>
  <dcterms:modified xsi:type="dcterms:W3CDTF">2017-07-10T15:03:00Z</dcterms:modified>
</cp:coreProperties>
</file>