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12"/>
        <w:gridCol w:w="1727"/>
        <w:gridCol w:w="6917"/>
      </w:tblGrid>
      <w:tr w:rsidR="004C4BE2" w:rsidRPr="002F251E" w:rsidTr="002C605C">
        <w:trPr>
          <w:trHeight w:val="209"/>
          <w:jc w:val="center"/>
        </w:trPr>
        <w:tc>
          <w:tcPr>
            <w:tcW w:w="3539" w:type="dxa"/>
            <w:gridSpan w:val="2"/>
            <w:vAlign w:val="center"/>
          </w:tcPr>
          <w:p w:rsidR="004C4BE2" w:rsidRPr="002F251E" w:rsidRDefault="004C4BE2" w:rsidP="00E12A4B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2F251E">
              <w:rPr>
                <w:b/>
                <w:i/>
                <w:color w:val="000000"/>
                <w:sz w:val="20"/>
                <w:szCs w:val="20"/>
              </w:rPr>
              <w:t>Groupe Eolien de la conférence bretonne de la transition énergétique</w:t>
            </w:r>
          </w:p>
          <w:p w:rsidR="004C4BE2" w:rsidRPr="002F251E" w:rsidRDefault="004C4BE2" w:rsidP="00E12A4B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20"/>
                <w:szCs w:val="20"/>
              </w:rPr>
            </w:pPr>
          </w:p>
          <w:p w:rsidR="004C4BE2" w:rsidRPr="002F251E" w:rsidRDefault="004C4BE2" w:rsidP="00C06E33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2F251E">
              <w:rPr>
                <w:b/>
                <w:i/>
                <w:color w:val="000000"/>
                <w:sz w:val="20"/>
                <w:szCs w:val="20"/>
              </w:rPr>
              <w:t xml:space="preserve">Binôme </w:t>
            </w:r>
            <w:r w:rsidRPr="00393D01">
              <w:rPr>
                <w:b/>
                <w:i/>
                <w:color w:val="000000"/>
                <w:sz w:val="20"/>
                <w:szCs w:val="20"/>
              </w:rPr>
              <w:t>#</w:t>
            </w:r>
            <w:r w:rsidR="0046750E" w:rsidRPr="00393D01">
              <w:rPr>
                <w:b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6917" w:type="dxa"/>
          </w:tcPr>
          <w:p w:rsidR="004C4BE2" w:rsidRPr="002F251E" w:rsidRDefault="004C4BE2" w:rsidP="00E12A4B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20"/>
                <w:szCs w:val="20"/>
              </w:rPr>
            </w:pPr>
            <w:r w:rsidRPr="002F251E">
              <w:rPr>
                <w:b/>
                <w:i/>
                <w:color w:val="000000"/>
                <w:sz w:val="20"/>
                <w:szCs w:val="20"/>
              </w:rPr>
              <w:t xml:space="preserve">Thème(s) dans le(s)quels le groupe identifie la structure comme levier : </w:t>
            </w:r>
            <w:r w:rsidR="00126A9E" w:rsidRPr="00393D01">
              <w:rPr>
                <w:b/>
                <w:i/>
                <w:color w:val="000000"/>
                <w:sz w:val="20"/>
                <w:szCs w:val="20"/>
              </w:rPr>
              <w:t>4</w:t>
            </w:r>
            <w:r w:rsidRPr="002F251E">
              <w:rPr>
                <w:b/>
                <w:i/>
                <w:color w:val="000000"/>
                <w:sz w:val="20"/>
                <w:szCs w:val="20"/>
              </w:rPr>
              <w:t xml:space="preserve">  </w:t>
            </w:r>
            <w:r w:rsidR="00393D01">
              <w:rPr>
                <w:b/>
                <w:i/>
                <w:color w:val="000000"/>
                <w:sz w:val="20"/>
                <w:szCs w:val="20"/>
              </w:rPr>
              <w:t>- Enjeux patrimoniaux et environnementaux</w:t>
            </w:r>
          </w:p>
          <w:p w:rsidR="004C4BE2" w:rsidRPr="002F251E" w:rsidRDefault="004C4BE2" w:rsidP="00E12A4B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20"/>
                <w:szCs w:val="20"/>
              </w:rPr>
            </w:pPr>
            <w:r w:rsidRPr="002F251E">
              <w:rPr>
                <w:b/>
                <w:i/>
                <w:color w:val="000000"/>
                <w:sz w:val="20"/>
                <w:szCs w:val="20"/>
              </w:rPr>
              <w:t xml:space="preserve">Nom de structure : </w:t>
            </w:r>
            <w:r w:rsidR="00584558" w:rsidRPr="000F1CAE">
              <w:rPr>
                <w:i/>
                <w:color w:val="000000"/>
                <w:sz w:val="20"/>
                <w:szCs w:val="20"/>
              </w:rPr>
              <w:t xml:space="preserve">Bretagne vivante </w:t>
            </w:r>
            <w:r w:rsidR="00393D01" w:rsidRPr="000F1CAE">
              <w:rPr>
                <w:i/>
                <w:color w:val="000000"/>
                <w:sz w:val="20"/>
                <w:szCs w:val="20"/>
              </w:rPr>
              <w:t xml:space="preserve">– antenne du Cloître St </w:t>
            </w:r>
            <w:proofErr w:type="spellStart"/>
            <w:r w:rsidR="00393D01" w:rsidRPr="000F1CAE">
              <w:rPr>
                <w:i/>
                <w:color w:val="000000"/>
                <w:sz w:val="20"/>
                <w:szCs w:val="20"/>
              </w:rPr>
              <w:t>Thégonnec</w:t>
            </w:r>
            <w:proofErr w:type="spellEnd"/>
          </w:p>
          <w:p w:rsidR="00CD4550" w:rsidRPr="000F1CAE" w:rsidRDefault="004C4BE2" w:rsidP="00E12A4B">
            <w:pPr>
              <w:pStyle w:val="WW-Standard"/>
              <w:spacing w:line="264" w:lineRule="auto"/>
              <w:jc w:val="left"/>
              <w:rPr>
                <w:color w:val="000000"/>
                <w:sz w:val="20"/>
                <w:szCs w:val="20"/>
              </w:rPr>
            </w:pPr>
            <w:r w:rsidRPr="002F251E">
              <w:rPr>
                <w:b/>
                <w:i/>
                <w:color w:val="000000"/>
                <w:sz w:val="20"/>
                <w:szCs w:val="20"/>
              </w:rPr>
              <w:t xml:space="preserve">Nom(s) des (de la) personne(s) : </w:t>
            </w:r>
            <w:r w:rsidR="00CD4550" w:rsidRPr="000F1CAE">
              <w:rPr>
                <w:color w:val="000000"/>
                <w:sz w:val="20"/>
                <w:szCs w:val="20"/>
              </w:rPr>
              <w:t xml:space="preserve">Emmanuel </w:t>
            </w:r>
            <w:proofErr w:type="spellStart"/>
            <w:r w:rsidR="00CD4550" w:rsidRPr="000F1CAE">
              <w:rPr>
                <w:color w:val="000000"/>
                <w:sz w:val="20"/>
                <w:szCs w:val="20"/>
              </w:rPr>
              <w:t>Holder</w:t>
            </w:r>
            <w:proofErr w:type="spellEnd"/>
            <w:r w:rsidR="00393D01" w:rsidRPr="000F1CAE">
              <w:rPr>
                <w:color w:val="000000"/>
                <w:sz w:val="20"/>
                <w:szCs w:val="20"/>
              </w:rPr>
              <w:t>,</w:t>
            </w:r>
          </w:p>
          <w:p w:rsidR="004C4BE2" w:rsidRPr="000F1CAE" w:rsidRDefault="004C4BE2" w:rsidP="00E12A4B">
            <w:pPr>
              <w:pStyle w:val="WW-Standard"/>
              <w:spacing w:line="264" w:lineRule="auto"/>
              <w:jc w:val="left"/>
              <w:rPr>
                <w:color w:val="000000"/>
                <w:sz w:val="20"/>
                <w:szCs w:val="20"/>
              </w:rPr>
            </w:pPr>
            <w:r w:rsidRPr="002F251E">
              <w:rPr>
                <w:b/>
                <w:i/>
                <w:color w:val="000000"/>
                <w:sz w:val="20"/>
                <w:szCs w:val="20"/>
              </w:rPr>
              <w:t xml:space="preserve">Fonction au sein de la structure : </w:t>
            </w:r>
            <w:r w:rsidR="000F1CAE" w:rsidRPr="000F1CAE">
              <w:rPr>
                <w:color w:val="000000"/>
                <w:sz w:val="20"/>
                <w:szCs w:val="20"/>
              </w:rPr>
              <w:t xml:space="preserve">Conservateur de la RNN </w:t>
            </w:r>
            <w:proofErr w:type="spellStart"/>
            <w:r w:rsidR="000F1CAE" w:rsidRPr="000F1CAE">
              <w:rPr>
                <w:color w:val="000000"/>
                <w:sz w:val="20"/>
                <w:szCs w:val="20"/>
              </w:rPr>
              <w:t>Venec</w:t>
            </w:r>
            <w:proofErr w:type="spellEnd"/>
            <w:r w:rsidR="000F1CAE" w:rsidRPr="000F1CAE">
              <w:rPr>
                <w:color w:val="000000"/>
                <w:sz w:val="20"/>
                <w:szCs w:val="20"/>
              </w:rPr>
              <w:t xml:space="preserve"> et responsable de la RNR du </w:t>
            </w:r>
            <w:proofErr w:type="spellStart"/>
            <w:r w:rsidR="000F1CAE" w:rsidRPr="000F1CAE">
              <w:rPr>
                <w:color w:val="000000"/>
                <w:sz w:val="20"/>
                <w:szCs w:val="20"/>
              </w:rPr>
              <w:t>Cragnou-Vergam</w:t>
            </w:r>
            <w:proofErr w:type="spellEnd"/>
          </w:p>
          <w:p w:rsidR="004C4BE2" w:rsidRPr="002F251E" w:rsidRDefault="000F1CAE" w:rsidP="00E12A4B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Date : </w:t>
            </w:r>
            <w:r>
              <w:rPr>
                <w:i/>
                <w:color w:val="000000"/>
                <w:sz w:val="20"/>
                <w:szCs w:val="20"/>
              </w:rPr>
              <w:t xml:space="preserve">12 </w:t>
            </w:r>
            <w:r w:rsidRPr="000F1CAE">
              <w:rPr>
                <w:i/>
                <w:color w:val="000000"/>
                <w:sz w:val="20"/>
                <w:szCs w:val="20"/>
              </w:rPr>
              <w:t>/06</w:t>
            </w:r>
            <w:r w:rsidR="004C4BE2" w:rsidRPr="000F1CAE">
              <w:rPr>
                <w:i/>
                <w:color w:val="000000"/>
                <w:sz w:val="20"/>
                <w:szCs w:val="20"/>
              </w:rPr>
              <w:t xml:space="preserve"> / 2017</w:t>
            </w:r>
          </w:p>
        </w:tc>
      </w:tr>
      <w:tr w:rsidR="004C4BE2" w:rsidRPr="002F251E" w:rsidTr="002C605C">
        <w:trPr>
          <w:jc w:val="center"/>
        </w:trPr>
        <w:tc>
          <w:tcPr>
            <w:tcW w:w="1812" w:type="dxa"/>
            <w:shd w:val="clear" w:color="auto" w:fill="auto"/>
            <w:vAlign w:val="center"/>
          </w:tcPr>
          <w:p w:rsidR="004C4BE2" w:rsidRPr="002F251E" w:rsidRDefault="00126A9E" w:rsidP="002C605C">
            <w:pPr>
              <w:pStyle w:val="WW-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2F251E">
              <w:rPr>
                <w:b/>
                <w:color w:val="000000"/>
                <w:sz w:val="20"/>
                <w:szCs w:val="20"/>
              </w:rPr>
              <w:t>Q1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4C4BE2" w:rsidRPr="002F251E" w:rsidRDefault="00126A9E" w:rsidP="002C605C">
            <w:pPr>
              <w:pStyle w:val="WW-Standard"/>
              <w:rPr>
                <w:sz w:val="20"/>
                <w:szCs w:val="20"/>
              </w:rPr>
            </w:pPr>
            <w:r w:rsidRPr="002F251E">
              <w:rPr>
                <w:sz w:val="20"/>
                <w:szCs w:val="20"/>
              </w:rPr>
              <w:t>Que pensez-vous du développement de l’éolien en Bretagne ?</w:t>
            </w:r>
          </w:p>
          <w:p w:rsidR="004C4BE2" w:rsidRDefault="004C4BE2" w:rsidP="002C605C">
            <w:pPr>
              <w:pStyle w:val="WW-Standard"/>
              <w:rPr>
                <w:sz w:val="20"/>
                <w:szCs w:val="20"/>
              </w:rPr>
            </w:pPr>
          </w:p>
          <w:p w:rsidR="00CD4550" w:rsidRDefault="000F1CAE" w:rsidP="002C605C">
            <w:pPr>
              <w:pStyle w:val="WW-Standard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 xml:space="preserve">Pas contre le développement de l’éolien en Bretagne au contraire mais il faudrait davantage de projet qui permettent aux villageois de se sentir </w:t>
            </w:r>
            <w:r w:rsidR="00B451FF">
              <w:rPr>
                <w:color w:val="0070C0"/>
                <w:sz w:val="20"/>
                <w:szCs w:val="20"/>
              </w:rPr>
              <w:t>responsables de</w:t>
            </w:r>
            <w:r w:rsidR="00F46C48">
              <w:rPr>
                <w:color w:val="0070C0"/>
                <w:sz w:val="20"/>
                <w:szCs w:val="20"/>
              </w:rPr>
              <w:t xml:space="preserve"> leur</w:t>
            </w:r>
            <w:r>
              <w:rPr>
                <w:color w:val="0070C0"/>
                <w:sz w:val="20"/>
                <w:szCs w:val="20"/>
              </w:rPr>
              <w:t xml:space="preserve"> consommation</w:t>
            </w:r>
            <w:r w:rsidR="00F46C48">
              <w:rPr>
                <w:color w:val="0070C0"/>
                <w:sz w:val="20"/>
                <w:szCs w:val="20"/>
              </w:rPr>
              <w:t xml:space="preserve"> </w:t>
            </w:r>
            <w:r>
              <w:rPr>
                <w:color w:val="0070C0"/>
                <w:sz w:val="20"/>
                <w:szCs w:val="20"/>
              </w:rPr>
              <w:t>énergétique</w:t>
            </w:r>
            <w:r w:rsidR="00B451FF">
              <w:rPr>
                <w:color w:val="0070C0"/>
                <w:sz w:val="20"/>
                <w:szCs w:val="20"/>
              </w:rPr>
              <w:t xml:space="preserve">. Certains </w:t>
            </w:r>
            <w:r w:rsidR="00F46C48">
              <w:rPr>
                <w:color w:val="0070C0"/>
                <w:sz w:val="20"/>
                <w:szCs w:val="20"/>
              </w:rPr>
              <w:t>projets mériteraient à rééquilibrer le rôle</w:t>
            </w:r>
            <w:r w:rsidR="00B451FF">
              <w:rPr>
                <w:color w:val="0070C0"/>
                <w:sz w:val="20"/>
                <w:szCs w:val="20"/>
              </w:rPr>
              <w:t xml:space="preserve"> </w:t>
            </w:r>
            <w:r w:rsidR="00F46C48">
              <w:rPr>
                <w:color w:val="0070C0"/>
                <w:sz w:val="20"/>
                <w:szCs w:val="20"/>
              </w:rPr>
              <w:t xml:space="preserve">des citoyens vis à vis du rôle </w:t>
            </w:r>
            <w:r w:rsidR="00F46C48">
              <w:rPr>
                <w:color w:val="0070C0"/>
                <w:sz w:val="20"/>
                <w:szCs w:val="20"/>
              </w:rPr>
              <w:t xml:space="preserve">des </w:t>
            </w:r>
            <w:r w:rsidR="00F46C48">
              <w:rPr>
                <w:color w:val="0070C0"/>
                <w:sz w:val="20"/>
                <w:szCs w:val="20"/>
              </w:rPr>
              <w:t>entreprises afin d’encourager davantage d’appropriation locale.</w:t>
            </w:r>
          </w:p>
          <w:p w:rsidR="000F1CAE" w:rsidRDefault="000F1CAE" w:rsidP="002C605C">
            <w:pPr>
              <w:pStyle w:val="WW-Standard"/>
              <w:rPr>
                <w:color w:val="0070C0"/>
                <w:sz w:val="20"/>
                <w:szCs w:val="20"/>
              </w:rPr>
            </w:pPr>
          </w:p>
          <w:p w:rsidR="002C605C" w:rsidRPr="00B451FF" w:rsidRDefault="000F1CAE" w:rsidP="002C605C">
            <w:pPr>
              <w:pStyle w:val="WW-Standard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L’éolien doit être considéré comme une énergie complémentaire à d’autres énergies renouvelables qui viendrai</w:t>
            </w:r>
            <w:r w:rsidR="00B451FF">
              <w:rPr>
                <w:color w:val="0070C0"/>
                <w:sz w:val="20"/>
                <w:szCs w:val="20"/>
              </w:rPr>
              <w:t>en</w:t>
            </w:r>
            <w:r>
              <w:rPr>
                <w:color w:val="0070C0"/>
                <w:sz w:val="20"/>
                <w:szCs w:val="20"/>
              </w:rPr>
              <w:t>t remplacer progressivement l’</w:t>
            </w:r>
            <w:r w:rsidR="00B451FF">
              <w:rPr>
                <w:color w:val="0070C0"/>
                <w:sz w:val="20"/>
                <w:szCs w:val="20"/>
              </w:rPr>
              <w:t>énergie nucléaire.</w:t>
            </w:r>
          </w:p>
          <w:p w:rsidR="002C605C" w:rsidRPr="002F251E" w:rsidRDefault="002C605C" w:rsidP="002C605C">
            <w:pPr>
              <w:pStyle w:val="WW-Standard"/>
              <w:rPr>
                <w:sz w:val="20"/>
                <w:szCs w:val="20"/>
              </w:rPr>
            </w:pPr>
          </w:p>
        </w:tc>
      </w:tr>
      <w:tr w:rsidR="00126A9E" w:rsidRPr="002F251E" w:rsidTr="002C605C">
        <w:trPr>
          <w:jc w:val="center"/>
        </w:trPr>
        <w:tc>
          <w:tcPr>
            <w:tcW w:w="1812" w:type="dxa"/>
            <w:shd w:val="clear" w:color="auto" w:fill="auto"/>
            <w:vAlign w:val="center"/>
          </w:tcPr>
          <w:p w:rsidR="00126A9E" w:rsidRPr="002F251E" w:rsidRDefault="00126A9E" w:rsidP="002C605C">
            <w:pPr>
              <w:pStyle w:val="WW-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2F251E">
              <w:rPr>
                <w:b/>
                <w:color w:val="000000"/>
                <w:sz w:val="20"/>
                <w:szCs w:val="20"/>
              </w:rPr>
              <w:t>Q2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126A9E" w:rsidRPr="002F251E" w:rsidRDefault="00126A9E" w:rsidP="002C605C">
            <w:pPr>
              <w:pStyle w:val="WW-Standard"/>
              <w:rPr>
                <w:sz w:val="20"/>
                <w:szCs w:val="20"/>
              </w:rPr>
            </w:pPr>
            <w:r w:rsidRPr="002F251E">
              <w:rPr>
                <w:sz w:val="20"/>
                <w:szCs w:val="20"/>
              </w:rPr>
              <w:t>Avez-vous identifié des freins au développement de nouveaux parcs ? des leviers ?</w:t>
            </w:r>
          </w:p>
          <w:p w:rsidR="002C605C" w:rsidRDefault="002C605C" w:rsidP="002C605C">
            <w:pPr>
              <w:pStyle w:val="WW-Standard"/>
              <w:rPr>
                <w:sz w:val="20"/>
                <w:szCs w:val="20"/>
              </w:rPr>
            </w:pPr>
          </w:p>
          <w:p w:rsidR="00CD4550" w:rsidRDefault="001858C7" w:rsidP="002C605C">
            <w:pPr>
              <w:pStyle w:val="WW-Standard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Freins :</w:t>
            </w:r>
          </w:p>
          <w:p w:rsidR="001858C7" w:rsidRDefault="001858C7" w:rsidP="001858C7">
            <w:pPr>
              <w:pStyle w:val="WW-Standard"/>
              <w:numPr>
                <w:ilvl w:val="0"/>
                <w:numId w:val="8"/>
              </w:num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La question de la consommation de l’espace </w:t>
            </w:r>
            <w:r w:rsidR="00F46C48">
              <w:rPr>
                <w:color w:val="0070C0"/>
                <w:sz w:val="20"/>
                <w:szCs w:val="20"/>
              </w:rPr>
              <w:t>liée aux</w:t>
            </w:r>
            <w:r>
              <w:rPr>
                <w:color w:val="0070C0"/>
                <w:sz w:val="20"/>
                <w:szCs w:val="20"/>
              </w:rPr>
              <w:t xml:space="preserve"> infrastructures éoliennes</w:t>
            </w:r>
            <w:r w:rsidR="00F46C48">
              <w:rPr>
                <w:color w:val="0070C0"/>
                <w:sz w:val="20"/>
                <w:szCs w:val="20"/>
              </w:rPr>
              <w:t xml:space="preserve"> souvent massives </w:t>
            </w:r>
            <w:r w:rsidR="00F46C48">
              <w:rPr>
                <w:color w:val="0070C0"/>
                <w:sz w:val="20"/>
                <w:szCs w:val="20"/>
              </w:rPr>
              <w:t>(compétitivité entre les terres agricoles, les espaces naturels sensibles, les potentiels terrains immobiliers)</w:t>
            </w:r>
          </w:p>
          <w:p w:rsidR="001858C7" w:rsidRDefault="001858C7" w:rsidP="001858C7">
            <w:pPr>
              <w:pStyle w:val="WW-Standard"/>
              <w:numPr>
                <w:ilvl w:val="0"/>
                <w:numId w:val="8"/>
              </w:num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L’acceptabilité sociale et le problème NIMBY</w:t>
            </w:r>
          </w:p>
          <w:p w:rsidR="001858C7" w:rsidRDefault="001858C7" w:rsidP="001858C7">
            <w:pPr>
              <w:pStyle w:val="WW-Standard"/>
              <w:rPr>
                <w:color w:val="0070C0"/>
                <w:sz w:val="20"/>
                <w:szCs w:val="20"/>
              </w:rPr>
            </w:pPr>
          </w:p>
          <w:p w:rsidR="001858C7" w:rsidRDefault="001858C7" w:rsidP="001858C7">
            <w:pPr>
              <w:pStyle w:val="WW-Standard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 xml:space="preserve">Leviers : </w:t>
            </w:r>
          </w:p>
          <w:p w:rsidR="001858C7" w:rsidRDefault="001858C7" w:rsidP="001858C7">
            <w:pPr>
              <w:pStyle w:val="WW-Standard"/>
              <w:numPr>
                <w:ilvl w:val="0"/>
                <w:numId w:val="8"/>
              </w:num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Promouvoir une approche plus localisée des éoliennes en décentralisant (moins de grosses unités de production)</w:t>
            </w:r>
          </w:p>
          <w:p w:rsidR="002C605C" w:rsidRPr="001858C7" w:rsidRDefault="00F46C48" w:rsidP="002C605C">
            <w:pPr>
              <w:pStyle w:val="WW-Standard"/>
              <w:numPr>
                <w:ilvl w:val="0"/>
                <w:numId w:val="8"/>
              </w:numPr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 xml:space="preserve">Mieux </w:t>
            </w:r>
            <w:r w:rsidR="001858C7">
              <w:rPr>
                <w:color w:val="0070C0"/>
                <w:sz w:val="20"/>
                <w:szCs w:val="20"/>
              </w:rPr>
              <w:t xml:space="preserve">intégrer </w:t>
            </w:r>
            <w:r>
              <w:rPr>
                <w:color w:val="0070C0"/>
                <w:sz w:val="20"/>
                <w:szCs w:val="20"/>
              </w:rPr>
              <w:t xml:space="preserve">les éoliennes </w:t>
            </w:r>
            <w:r w:rsidR="001858C7">
              <w:rPr>
                <w:color w:val="0070C0"/>
                <w:sz w:val="20"/>
                <w:szCs w:val="20"/>
              </w:rPr>
              <w:t xml:space="preserve">dans les paysages en proposant </w:t>
            </w:r>
            <w:r>
              <w:rPr>
                <w:color w:val="0070C0"/>
                <w:sz w:val="20"/>
                <w:szCs w:val="20"/>
              </w:rPr>
              <w:t>des projets à l’échelle individuelle</w:t>
            </w:r>
          </w:p>
          <w:p w:rsidR="00126A9E" w:rsidRPr="002F251E" w:rsidRDefault="00126A9E" w:rsidP="002C605C">
            <w:pPr>
              <w:pStyle w:val="WW-Standard"/>
              <w:rPr>
                <w:sz w:val="20"/>
                <w:szCs w:val="20"/>
              </w:rPr>
            </w:pPr>
          </w:p>
        </w:tc>
      </w:tr>
      <w:tr w:rsidR="004C4BE2" w:rsidRPr="002F251E" w:rsidTr="002C605C">
        <w:trPr>
          <w:jc w:val="center"/>
        </w:trPr>
        <w:tc>
          <w:tcPr>
            <w:tcW w:w="1812" w:type="dxa"/>
            <w:shd w:val="clear" w:color="auto" w:fill="auto"/>
            <w:vAlign w:val="center"/>
          </w:tcPr>
          <w:p w:rsidR="004C4BE2" w:rsidRPr="002F251E" w:rsidRDefault="00126A9E" w:rsidP="002C605C">
            <w:pPr>
              <w:pStyle w:val="WW-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2F251E">
              <w:rPr>
                <w:b/>
                <w:color w:val="000000"/>
                <w:sz w:val="20"/>
                <w:szCs w:val="20"/>
              </w:rPr>
              <w:t>Q3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126A9E" w:rsidRPr="002F251E" w:rsidRDefault="00126A9E" w:rsidP="002C605C">
            <w:pPr>
              <w:pStyle w:val="WW-Standard"/>
              <w:rPr>
                <w:sz w:val="20"/>
                <w:szCs w:val="20"/>
              </w:rPr>
            </w:pPr>
            <w:r w:rsidRPr="002F251E">
              <w:rPr>
                <w:sz w:val="20"/>
                <w:szCs w:val="20"/>
              </w:rPr>
              <w:t xml:space="preserve">Quelle sera, selon vous, la place de l’éolien dans le paysage breton de demain ? </w:t>
            </w:r>
          </w:p>
          <w:p w:rsidR="0006454A" w:rsidRDefault="0006454A" w:rsidP="002C605C">
            <w:pPr>
              <w:pStyle w:val="WW-Standard"/>
              <w:rPr>
                <w:color w:val="0070C0"/>
                <w:sz w:val="20"/>
                <w:szCs w:val="20"/>
              </w:rPr>
            </w:pPr>
          </w:p>
          <w:p w:rsidR="00CD4550" w:rsidRDefault="00BF7775" w:rsidP="002C605C">
            <w:pPr>
              <w:pStyle w:val="WW-Standard"/>
              <w:rPr>
                <w:color w:val="0070C0"/>
                <w:sz w:val="20"/>
                <w:szCs w:val="20"/>
              </w:rPr>
            </w:pPr>
            <w:r w:rsidRPr="00BF7775">
              <w:rPr>
                <w:color w:val="0070C0"/>
                <w:sz w:val="20"/>
                <w:szCs w:val="20"/>
              </w:rPr>
              <w:t>L’</w:t>
            </w:r>
            <w:r w:rsidR="00ED3B15">
              <w:rPr>
                <w:color w:val="0070C0"/>
                <w:sz w:val="20"/>
                <w:szCs w:val="20"/>
              </w:rPr>
              <w:t>éolien doit avoir une place important</w:t>
            </w:r>
            <w:r w:rsidRPr="00BF7775">
              <w:rPr>
                <w:color w:val="0070C0"/>
                <w:sz w:val="20"/>
                <w:szCs w:val="20"/>
              </w:rPr>
              <w:t xml:space="preserve">e mais il est nécessaire de miser sur plusieurs </w:t>
            </w:r>
            <w:proofErr w:type="spellStart"/>
            <w:r w:rsidRPr="00BF7775">
              <w:rPr>
                <w:color w:val="0070C0"/>
                <w:sz w:val="20"/>
                <w:szCs w:val="20"/>
              </w:rPr>
              <w:t>EnR</w:t>
            </w:r>
            <w:proofErr w:type="spellEnd"/>
            <w:r w:rsidRPr="00BF7775">
              <w:rPr>
                <w:color w:val="0070C0"/>
                <w:sz w:val="20"/>
                <w:szCs w:val="20"/>
              </w:rPr>
              <w:t xml:space="preserve"> en même temps</w:t>
            </w:r>
            <w:r w:rsidR="00E87CF1">
              <w:rPr>
                <w:color w:val="0070C0"/>
                <w:sz w:val="20"/>
                <w:szCs w:val="20"/>
              </w:rPr>
              <w:t>. Pour un développement adapté, il est nécessaire de prendre en compte :</w:t>
            </w:r>
          </w:p>
          <w:p w:rsidR="00E87CF1" w:rsidRPr="00E87CF1" w:rsidRDefault="00E87CF1" w:rsidP="00E87CF1">
            <w:pPr>
              <w:pStyle w:val="WW-Standard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 xml:space="preserve">Les besoins de consommation </w:t>
            </w:r>
          </w:p>
          <w:p w:rsidR="00E87CF1" w:rsidRPr="00E87CF1" w:rsidRDefault="00E87CF1" w:rsidP="00E87CF1">
            <w:pPr>
              <w:pStyle w:val="WW-Standard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 xml:space="preserve">Les potentiels de production d’énergie </w:t>
            </w:r>
          </w:p>
          <w:p w:rsidR="004C4BE2" w:rsidRPr="006B4966" w:rsidRDefault="00E87CF1" w:rsidP="002C605C">
            <w:pPr>
              <w:pStyle w:val="WW-Standard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Les matériaux utilisés pour la construction (durabilité, recyclage)</w:t>
            </w:r>
          </w:p>
          <w:p w:rsidR="006B4966" w:rsidRPr="00E87CF1" w:rsidRDefault="006B4966" w:rsidP="006B4966">
            <w:pPr>
              <w:pStyle w:val="WW-Standard"/>
              <w:ind w:left="720"/>
              <w:rPr>
                <w:sz w:val="20"/>
                <w:szCs w:val="20"/>
              </w:rPr>
            </w:pPr>
          </w:p>
        </w:tc>
      </w:tr>
      <w:tr w:rsidR="004C4BE2" w:rsidRPr="002F251E" w:rsidTr="002C605C">
        <w:trPr>
          <w:jc w:val="center"/>
        </w:trPr>
        <w:tc>
          <w:tcPr>
            <w:tcW w:w="1812" w:type="dxa"/>
            <w:shd w:val="clear" w:color="auto" w:fill="auto"/>
            <w:vAlign w:val="center"/>
          </w:tcPr>
          <w:p w:rsidR="004C4BE2" w:rsidRPr="002F251E" w:rsidRDefault="00126A9E" w:rsidP="002C605C">
            <w:pPr>
              <w:pStyle w:val="WW-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2F251E">
              <w:rPr>
                <w:b/>
                <w:color w:val="000000"/>
                <w:sz w:val="20"/>
                <w:szCs w:val="20"/>
              </w:rPr>
              <w:t>Q4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126A9E" w:rsidRPr="002F251E" w:rsidRDefault="00126A9E" w:rsidP="002C60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251E">
              <w:rPr>
                <w:rFonts w:ascii="Arial" w:hAnsi="Arial" w:cs="Arial"/>
                <w:sz w:val="20"/>
                <w:szCs w:val="20"/>
              </w:rPr>
              <w:t>Quel regard portez-vous sur la planification de l’éolien ? Quelle vous semble être l’éc</w:t>
            </w:r>
            <w:r w:rsidR="002F251E" w:rsidRPr="002F251E">
              <w:rPr>
                <w:rFonts w:ascii="Arial" w:hAnsi="Arial" w:cs="Arial"/>
                <w:sz w:val="20"/>
                <w:szCs w:val="20"/>
              </w:rPr>
              <w:t>helle la plus appropriée pour une éventuelle</w:t>
            </w:r>
            <w:r w:rsidRPr="002F251E">
              <w:rPr>
                <w:rFonts w:ascii="Arial" w:hAnsi="Arial" w:cs="Arial"/>
                <w:sz w:val="20"/>
                <w:szCs w:val="20"/>
              </w:rPr>
              <w:t xml:space="preserve"> planification ?</w:t>
            </w:r>
          </w:p>
          <w:p w:rsidR="004C4BE2" w:rsidRPr="002F251E" w:rsidRDefault="004C4BE2" w:rsidP="002C605C">
            <w:pPr>
              <w:pStyle w:val="WW-Standard"/>
              <w:rPr>
                <w:sz w:val="20"/>
                <w:szCs w:val="20"/>
              </w:rPr>
            </w:pPr>
          </w:p>
          <w:p w:rsidR="004C4BE2" w:rsidRDefault="0006454A" w:rsidP="002C605C">
            <w:pPr>
              <w:pStyle w:val="WW-Standard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Les communautés de communes doivent être considéré</w:t>
            </w:r>
            <w:r w:rsidR="00ED3B15">
              <w:rPr>
                <w:color w:val="0070C0"/>
                <w:sz w:val="20"/>
                <w:szCs w:val="20"/>
              </w:rPr>
              <w:t>e</w:t>
            </w:r>
            <w:r>
              <w:rPr>
                <w:color w:val="0070C0"/>
                <w:sz w:val="20"/>
                <w:szCs w:val="20"/>
              </w:rPr>
              <w:t xml:space="preserve"> comme l’entrée principale de l’échelle de planification afin d’avoir une cohérence territoriale et promouvoir une gouvernance locale impliquant les citoyens. </w:t>
            </w:r>
            <w:r w:rsidR="00ED3B15">
              <w:rPr>
                <w:color w:val="0070C0"/>
                <w:sz w:val="20"/>
                <w:szCs w:val="20"/>
              </w:rPr>
              <w:t>E</w:t>
            </w:r>
            <w:r>
              <w:rPr>
                <w:color w:val="0070C0"/>
                <w:sz w:val="20"/>
                <w:szCs w:val="20"/>
              </w:rPr>
              <w:t>n parallèle des projets</w:t>
            </w:r>
            <w:r w:rsidR="00ED3B15">
              <w:rPr>
                <w:color w:val="0070C0"/>
                <w:sz w:val="20"/>
                <w:szCs w:val="20"/>
              </w:rPr>
              <w:t xml:space="preserve"> éoliens, i</w:t>
            </w:r>
            <w:r w:rsidR="00ED3B15">
              <w:rPr>
                <w:color w:val="0070C0"/>
                <w:sz w:val="20"/>
                <w:szCs w:val="20"/>
              </w:rPr>
              <w:t xml:space="preserve">l est important de planifier </w:t>
            </w:r>
            <w:r>
              <w:rPr>
                <w:color w:val="0070C0"/>
                <w:sz w:val="20"/>
                <w:szCs w:val="20"/>
              </w:rPr>
              <w:t>des mesures de rénovations énergétiques afin de réduire les consommations d’énergie globales.</w:t>
            </w:r>
          </w:p>
          <w:p w:rsidR="006B4966" w:rsidRPr="002F251E" w:rsidRDefault="006B4966" w:rsidP="002C605C">
            <w:pPr>
              <w:pStyle w:val="WW-Standard"/>
              <w:rPr>
                <w:sz w:val="20"/>
                <w:szCs w:val="20"/>
              </w:rPr>
            </w:pPr>
          </w:p>
        </w:tc>
      </w:tr>
      <w:tr w:rsidR="004C4BE2" w:rsidRPr="002F251E" w:rsidTr="002C605C">
        <w:trPr>
          <w:jc w:val="center"/>
        </w:trPr>
        <w:tc>
          <w:tcPr>
            <w:tcW w:w="1812" w:type="dxa"/>
            <w:shd w:val="clear" w:color="auto" w:fill="auto"/>
            <w:vAlign w:val="center"/>
          </w:tcPr>
          <w:p w:rsidR="004C4BE2" w:rsidRPr="002F251E" w:rsidRDefault="00126A9E" w:rsidP="002C605C">
            <w:pPr>
              <w:pStyle w:val="WW-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2F251E">
              <w:rPr>
                <w:b/>
                <w:color w:val="000000"/>
                <w:sz w:val="20"/>
                <w:szCs w:val="20"/>
              </w:rPr>
              <w:t>Q5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7D31FC" w:rsidRDefault="0046750E" w:rsidP="002C605C">
            <w:pPr>
              <w:pStyle w:val="WW-Standard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Qu’est-ce que vous pensez des méthodes actuelles d’appréciation de l’impact sur la biodiversité dans le développement des projets éoliens ? Que faudrait-il améliorer selon vous?</w:t>
            </w:r>
          </w:p>
          <w:p w:rsidR="002764F7" w:rsidRDefault="002764F7" w:rsidP="002C605C">
            <w:pPr>
              <w:pStyle w:val="WW-Standard"/>
              <w:rPr>
                <w:color w:val="0070C0"/>
                <w:sz w:val="20"/>
                <w:szCs w:val="20"/>
                <w:lang w:eastAsia="en-US"/>
              </w:rPr>
            </w:pPr>
          </w:p>
          <w:p w:rsidR="0046750E" w:rsidRDefault="00E64632" w:rsidP="002C605C">
            <w:pPr>
              <w:pStyle w:val="WW-Standard"/>
              <w:rPr>
                <w:color w:val="0070C0"/>
                <w:sz w:val="20"/>
                <w:szCs w:val="20"/>
                <w:lang w:eastAsia="en-US"/>
              </w:rPr>
            </w:pPr>
            <w:r w:rsidRPr="00E64632">
              <w:rPr>
                <w:color w:val="0070C0"/>
                <w:sz w:val="20"/>
                <w:szCs w:val="20"/>
                <w:lang w:eastAsia="en-US"/>
              </w:rPr>
              <w:t>Les bureaux d’études ont parfois peu d’</w:t>
            </w:r>
            <w:r w:rsidR="00ED3B15">
              <w:rPr>
                <w:color w:val="0070C0"/>
                <w:sz w:val="20"/>
                <w:szCs w:val="20"/>
                <w:lang w:eastAsia="en-US"/>
              </w:rPr>
              <w:t>indépendance</w:t>
            </w:r>
            <w:r w:rsidRPr="00E64632">
              <w:rPr>
                <w:color w:val="0070C0"/>
                <w:sz w:val="20"/>
                <w:szCs w:val="20"/>
                <w:lang w:eastAsia="en-US"/>
              </w:rPr>
              <w:t xml:space="preserve"> vis-à-vis de l’</w:t>
            </w:r>
            <w:r w:rsidR="00ED3B15">
              <w:rPr>
                <w:color w:val="0070C0"/>
                <w:sz w:val="20"/>
                <w:szCs w:val="20"/>
                <w:lang w:eastAsia="en-US"/>
              </w:rPr>
              <w:t>entreprise pour laquelle ils travaillent,</w:t>
            </w:r>
            <w:r>
              <w:rPr>
                <w:color w:val="0070C0"/>
                <w:sz w:val="20"/>
                <w:szCs w:val="20"/>
                <w:lang w:eastAsia="en-US"/>
              </w:rPr>
              <w:t xml:space="preserve"> ce qui influencent </w:t>
            </w:r>
            <w:r w:rsidR="00ED3B15">
              <w:rPr>
                <w:color w:val="0070C0"/>
                <w:sz w:val="20"/>
                <w:szCs w:val="20"/>
                <w:lang w:eastAsia="en-US"/>
              </w:rPr>
              <w:t>souvent le résultat d</w:t>
            </w:r>
            <w:r>
              <w:rPr>
                <w:color w:val="0070C0"/>
                <w:sz w:val="20"/>
                <w:szCs w:val="20"/>
                <w:lang w:eastAsia="en-US"/>
              </w:rPr>
              <w:t>es recommandations</w:t>
            </w:r>
            <w:r w:rsidR="00ED3B15">
              <w:rPr>
                <w:color w:val="0070C0"/>
                <w:sz w:val="20"/>
                <w:szCs w:val="20"/>
                <w:lang w:eastAsia="en-US"/>
              </w:rPr>
              <w:t xml:space="preserve"> (revues à la baisse).</w:t>
            </w:r>
          </w:p>
          <w:p w:rsidR="002764F7" w:rsidRDefault="002764F7" w:rsidP="002764F7">
            <w:pPr>
              <w:pStyle w:val="WW-Standard"/>
              <w:rPr>
                <w:color w:val="0070C0"/>
                <w:sz w:val="20"/>
                <w:szCs w:val="20"/>
                <w:lang w:eastAsia="en-US"/>
              </w:rPr>
            </w:pPr>
          </w:p>
          <w:p w:rsidR="004C4BE2" w:rsidRDefault="00E64632" w:rsidP="002764F7">
            <w:pPr>
              <w:pStyle w:val="WW-Standard"/>
              <w:rPr>
                <w:color w:val="0070C0"/>
                <w:sz w:val="20"/>
                <w:szCs w:val="20"/>
                <w:lang w:eastAsia="en-US"/>
              </w:rPr>
            </w:pPr>
            <w:r>
              <w:rPr>
                <w:color w:val="0070C0"/>
                <w:sz w:val="20"/>
                <w:szCs w:val="20"/>
                <w:lang w:eastAsia="en-US"/>
              </w:rPr>
              <w:t>Il semble aussi y avoir un recourt trop fréquent aux « compensations » qui dans certains cas perdent leur sens</w:t>
            </w:r>
            <w:r w:rsidR="002764F7">
              <w:rPr>
                <w:color w:val="0070C0"/>
                <w:sz w:val="20"/>
                <w:szCs w:val="20"/>
                <w:lang w:eastAsia="en-US"/>
              </w:rPr>
              <w:t xml:space="preserve"> (questionnement des démarches de reconstruction de la nature)</w:t>
            </w:r>
            <w:r w:rsidR="00ED3B15">
              <w:rPr>
                <w:color w:val="0070C0"/>
                <w:sz w:val="20"/>
                <w:szCs w:val="20"/>
                <w:lang w:eastAsia="en-US"/>
              </w:rPr>
              <w:t>.</w:t>
            </w:r>
          </w:p>
          <w:p w:rsidR="006B4966" w:rsidRPr="00E64632" w:rsidRDefault="006B4966" w:rsidP="002764F7">
            <w:pPr>
              <w:pStyle w:val="WW-Standard"/>
              <w:rPr>
                <w:color w:val="0070C0"/>
                <w:sz w:val="20"/>
                <w:szCs w:val="20"/>
                <w:lang w:eastAsia="en-US"/>
              </w:rPr>
            </w:pPr>
          </w:p>
        </w:tc>
      </w:tr>
      <w:tr w:rsidR="004C4BE2" w:rsidRPr="002F251E" w:rsidTr="002C605C">
        <w:trPr>
          <w:jc w:val="center"/>
        </w:trPr>
        <w:tc>
          <w:tcPr>
            <w:tcW w:w="1812" w:type="dxa"/>
            <w:shd w:val="clear" w:color="auto" w:fill="auto"/>
            <w:vAlign w:val="center"/>
          </w:tcPr>
          <w:p w:rsidR="004C4BE2" w:rsidRPr="002F251E" w:rsidRDefault="004C4BE2" w:rsidP="002C605C">
            <w:pPr>
              <w:pStyle w:val="WW-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2F251E">
              <w:rPr>
                <w:b/>
                <w:color w:val="000000"/>
                <w:sz w:val="20"/>
                <w:szCs w:val="20"/>
              </w:rPr>
              <w:t>Q</w:t>
            </w:r>
            <w:r w:rsidR="00126A9E" w:rsidRPr="002F251E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7D31FC" w:rsidRPr="002F251E" w:rsidRDefault="007D31FC" w:rsidP="002C605C">
            <w:pPr>
              <w:pStyle w:val="WW-Standard"/>
              <w:rPr>
                <w:color w:val="auto"/>
                <w:sz w:val="20"/>
                <w:szCs w:val="20"/>
                <w:lang w:eastAsia="en-US"/>
              </w:rPr>
            </w:pPr>
            <w:r w:rsidRPr="002F251E">
              <w:rPr>
                <w:color w:val="auto"/>
                <w:sz w:val="20"/>
                <w:szCs w:val="20"/>
                <w:lang w:eastAsia="en-US"/>
              </w:rPr>
              <w:t>Pensez-vous que l’évaluation d’un projet éolien pourrait être décloisonnée (</w:t>
            </w:r>
            <w:r w:rsidR="00126A9E" w:rsidRPr="002F251E">
              <w:rPr>
                <w:color w:val="auto"/>
                <w:sz w:val="20"/>
                <w:szCs w:val="20"/>
                <w:lang w:eastAsia="en-US"/>
              </w:rPr>
              <w:t xml:space="preserve">analyse multicritère </w:t>
            </w:r>
            <w:r w:rsidRPr="002F251E">
              <w:rPr>
                <w:color w:val="auto"/>
                <w:sz w:val="20"/>
                <w:szCs w:val="20"/>
                <w:lang w:eastAsia="en-US"/>
              </w:rPr>
              <w:t xml:space="preserve">paysage, biodiversité, contraintes techniques, </w:t>
            </w:r>
            <w:proofErr w:type="spellStart"/>
            <w:r w:rsidRPr="002F251E">
              <w:rPr>
                <w:color w:val="auto"/>
                <w:sz w:val="20"/>
                <w:szCs w:val="20"/>
                <w:lang w:eastAsia="en-US"/>
              </w:rPr>
              <w:t>etc</w:t>
            </w:r>
            <w:proofErr w:type="spellEnd"/>
            <w:r w:rsidRPr="002F251E">
              <w:rPr>
                <w:color w:val="auto"/>
                <w:sz w:val="20"/>
                <w:szCs w:val="20"/>
                <w:lang w:eastAsia="en-US"/>
              </w:rPr>
              <w:t xml:space="preserve">) </w:t>
            </w:r>
            <w:r w:rsidR="00404A94" w:rsidRPr="002F251E">
              <w:rPr>
                <w:color w:val="auto"/>
                <w:sz w:val="20"/>
                <w:szCs w:val="20"/>
                <w:lang w:eastAsia="en-US"/>
              </w:rPr>
              <w:t>?</w:t>
            </w:r>
          </w:p>
          <w:p w:rsidR="004C4BE2" w:rsidRPr="002F251E" w:rsidRDefault="004C4BE2" w:rsidP="002C605C">
            <w:pPr>
              <w:pStyle w:val="WW-Standard"/>
              <w:rPr>
                <w:sz w:val="20"/>
                <w:szCs w:val="20"/>
              </w:rPr>
            </w:pPr>
          </w:p>
          <w:p w:rsidR="002C605C" w:rsidRDefault="002764F7" w:rsidP="002C605C">
            <w:pPr>
              <w:pStyle w:val="WW-Standard"/>
              <w:rPr>
                <w:color w:val="0070C0"/>
                <w:sz w:val="20"/>
                <w:szCs w:val="20"/>
              </w:rPr>
            </w:pPr>
            <w:r w:rsidRPr="002764F7">
              <w:rPr>
                <w:color w:val="0070C0"/>
                <w:sz w:val="20"/>
                <w:szCs w:val="20"/>
              </w:rPr>
              <w:t xml:space="preserve">L’approche cloisonnée par secteur peut </w:t>
            </w:r>
            <w:r>
              <w:rPr>
                <w:color w:val="0070C0"/>
                <w:sz w:val="20"/>
                <w:szCs w:val="20"/>
              </w:rPr>
              <w:t>être intéressante dan</w:t>
            </w:r>
            <w:r w:rsidR="006B4966">
              <w:rPr>
                <w:color w:val="0070C0"/>
                <w:sz w:val="20"/>
                <w:szCs w:val="20"/>
              </w:rPr>
              <w:t>s le but de comparer les avis, de</w:t>
            </w:r>
            <w:r>
              <w:rPr>
                <w:color w:val="0070C0"/>
                <w:sz w:val="20"/>
                <w:szCs w:val="20"/>
              </w:rPr>
              <w:t xml:space="preserve"> les considérer à leur juste valeur pour les domaines qu’ils concernent</w:t>
            </w:r>
            <w:r w:rsidR="006B4966">
              <w:rPr>
                <w:color w:val="0070C0"/>
                <w:sz w:val="20"/>
                <w:szCs w:val="20"/>
              </w:rPr>
              <w:t>, et d’éviter ainsi une approche trop harmonisée</w:t>
            </w:r>
            <w:r>
              <w:rPr>
                <w:color w:val="0070C0"/>
                <w:sz w:val="20"/>
                <w:szCs w:val="20"/>
              </w:rPr>
              <w:t xml:space="preserve">. Il est cependant intéressant de croiser plusieurs aspects pour avoir une vision transversale à travers une approche intégrée. </w:t>
            </w:r>
          </w:p>
          <w:p w:rsidR="006B4966" w:rsidRPr="006B4966" w:rsidRDefault="006B4966" w:rsidP="002C605C">
            <w:pPr>
              <w:pStyle w:val="WW-Standard"/>
              <w:rPr>
                <w:color w:val="0070C0"/>
                <w:sz w:val="20"/>
                <w:szCs w:val="20"/>
              </w:rPr>
            </w:pPr>
          </w:p>
        </w:tc>
      </w:tr>
      <w:tr w:rsidR="004C4BE2" w:rsidRPr="002F251E" w:rsidTr="002C605C">
        <w:trPr>
          <w:jc w:val="center"/>
        </w:trPr>
        <w:tc>
          <w:tcPr>
            <w:tcW w:w="1812" w:type="dxa"/>
            <w:shd w:val="clear" w:color="auto" w:fill="auto"/>
            <w:vAlign w:val="center"/>
          </w:tcPr>
          <w:p w:rsidR="00ED3B15" w:rsidRDefault="00ED3B15" w:rsidP="002C605C">
            <w:pPr>
              <w:pStyle w:val="WW-Standard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ED3B15" w:rsidRDefault="00ED3B15" w:rsidP="002C605C">
            <w:pPr>
              <w:pStyle w:val="WW-Standard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ED3B15" w:rsidRDefault="00ED3B15" w:rsidP="002C605C">
            <w:pPr>
              <w:pStyle w:val="WW-Standard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4C4BE2" w:rsidRPr="002F251E" w:rsidRDefault="004C4BE2" w:rsidP="002C605C">
            <w:pPr>
              <w:pStyle w:val="WW-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2F251E">
              <w:rPr>
                <w:b/>
                <w:color w:val="000000"/>
                <w:sz w:val="20"/>
                <w:szCs w:val="20"/>
              </w:rPr>
              <w:lastRenderedPageBreak/>
              <w:t>Q7</w:t>
            </w:r>
          </w:p>
        </w:tc>
        <w:tc>
          <w:tcPr>
            <w:tcW w:w="8644" w:type="dxa"/>
            <w:gridSpan w:val="2"/>
            <w:shd w:val="clear" w:color="auto" w:fill="auto"/>
          </w:tcPr>
          <w:p w:rsidR="006B4966" w:rsidRDefault="006B4966" w:rsidP="002C605C">
            <w:pPr>
              <w:pStyle w:val="WW-Standard"/>
              <w:rPr>
                <w:color w:val="auto"/>
                <w:sz w:val="20"/>
                <w:szCs w:val="20"/>
                <w:lang w:eastAsia="en-US"/>
              </w:rPr>
            </w:pPr>
          </w:p>
          <w:p w:rsidR="006B4966" w:rsidRDefault="006B4966" w:rsidP="002C605C">
            <w:pPr>
              <w:pStyle w:val="WW-Standard"/>
              <w:rPr>
                <w:color w:val="auto"/>
                <w:sz w:val="20"/>
                <w:szCs w:val="20"/>
                <w:lang w:eastAsia="en-US"/>
              </w:rPr>
            </w:pPr>
          </w:p>
          <w:p w:rsidR="00ED3B15" w:rsidRDefault="00ED3B15" w:rsidP="002C605C">
            <w:pPr>
              <w:pStyle w:val="WW-Standard"/>
              <w:rPr>
                <w:color w:val="auto"/>
                <w:sz w:val="20"/>
                <w:szCs w:val="20"/>
                <w:lang w:eastAsia="en-US"/>
              </w:rPr>
            </w:pPr>
          </w:p>
          <w:p w:rsidR="004C4BE2" w:rsidRDefault="00CE68E3" w:rsidP="002C605C">
            <w:pPr>
              <w:pStyle w:val="WW-Standard"/>
              <w:rPr>
                <w:color w:val="auto"/>
                <w:sz w:val="20"/>
                <w:szCs w:val="20"/>
                <w:lang w:eastAsia="en-US"/>
              </w:rPr>
            </w:pPr>
            <w:r w:rsidRPr="002F251E">
              <w:rPr>
                <w:color w:val="auto"/>
                <w:sz w:val="20"/>
                <w:szCs w:val="20"/>
                <w:lang w:eastAsia="en-US"/>
              </w:rPr>
              <w:lastRenderedPageBreak/>
              <w:t>S</w:t>
            </w:r>
            <w:r w:rsidR="004C4BE2" w:rsidRPr="002F251E">
              <w:rPr>
                <w:color w:val="auto"/>
                <w:sz w:val="20"/>
                <w:szCs w:val="20"/>
                <w:lang w:eastAsia="en-US"/>
              </w:rPr>
              <w:t xml:space="preserve">i </w:t>
            </w:r>
            <w:r w:rsidRPr="002F251E">
              <w:rPr>
                <w:color w:val="auto"/>
                <w:sz w:val="20"/>
                <w:szCs w:val="20"/>
                <w:lang w:eastAsia="en-US"/>
              </w:rPr>
              <w:t>une homogénéité régionale des</w:t>
            </w:r>
            <w:r w:rsidR="0046750E">
              <w:rPr>
                <w:color w:val="auto"/>
                <w:sz w:val="20"/>
                <w:szCs w:val="20"/>
                <w:lang w:eastAsia="en-US"/>
              </w:rPr>
              <w:t xml:space="preserve"> méthodes d’évaluation de biodiversité</w:t>
            </w:r>
            <w:r w:rsidRPr="002F251E">
              <w:rPr>
                <w:color w:val="auto"/>
                <w:sz w:val="20"/>
                <w:szCs w:val="20"/>
                <w:lang w:eastAsia="en-US"/>
              </w:rPr>
              <w:t xml:space="preserve"> était retenue</w:t>
            </w:r>
            <w:r w:rsidR="004C4BE2" w:rsidRPr="002F251E">
              <w:rPr>
                <w:color w:val="auto"/>
                <w:sz w:val="20"/>
                <w:szCs w:val="20"/>
                <w:lang w:eastAsia="en-US"/>
              </w:rPr>
              <w:t xml:space="preserve"> dans la Feuille de route, quelle serait la place et l’engagement de</w:t>
            </w:r>
            <w:r w:rsidRPr="002F251E">
              <w:rPr>
                <w:color w:val="auto"/>
                <w:sz w:val="20"/>
                <w:szCs w:val="20"/>
                <w:lang w:eastAsia="en-US"/>
              </w:rPr>
              <w:t xml:space="preserve"> votre structure dans cette action</w:t>
            </w:r>
            <w:r w:rsidR="004C4BE2" w:rsidRPr="002F251E">
              <w:rPr>
                <w:color w:val="auto"/>
                <w:sz w:val="20"/>
                <w:szCs w:val="20"/>
                <w:lang w:eastAsia="en-US"/>
              </w:rPr>
              <w:t> ?</w:t>
            </w:r>
          </w:p>
          <w:p w:rsidR="006B4966" w:rsidRPr="002F251E" w:rsidRDefault="006B4966" w:rsidP="002C605C">
            <w:pPr>
              <w:pStyle w:val="WW-Standard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/</w:t>
            </w:r>
            <w:r w:rsidRPr="002F251E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2F251E">
              <w:rPr>
                <w:color w:val="auto"/>
                <w:sz w:val="20"/>
                <w:szCs w:val="20"/>
                <w:lang w:eastAsia="en-US"/>
              </w:rPr>
              <w:t>Plusieurs actions pourront être retenues dans la feuille de route (ex : méthodes de travail homogénéisées, évaluation décloisonnée,</w:t>
            </w:r>
            <w:r>
              <w:rPr>
                <w:color w:val="auto"/>
                <w:sz w:val="20"/>
                <w:szCs w:val="20"/>
                <w:lang w:eastAsia="en-US"/>
              </w:rPr>
              <w:t xml:space="preserve"> travaux spécifiques sur les chiroptères ou autres espèces animal/végétal</w:t>
            </w:r>
            <w:r w:rsidRPr="002F251E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F251E">
              <w:rPr>
                <w:color w:val="auto"/>
                <w:sz w:val="20"/>
                <w:szCs w:val="20"/>
                <w:lang w:eastAsia="en-US"/>
              </w:rPr>
              <w:t>etc</w:t>
            </w:r>
            <w:proofErr w:type="spellEnd"/>
            <w:r w:rsidRPr="002F251E">
              <w:rPr>
                <w:color w:val="auto"/>
                <w:sz w:val="20"/>
                <w:szCs w:val="20"/>
                <w:lang w:eastAsia="en-US"/>
              </w:rPr>
              <w:t>). Seriez-vous d’accord pour apparaitre comme acteur d’une action de cette feuille de route ? si oui, comment, quand et sous quelles conditions ?</w:t>
            </w:r>
          </w:p>
          <w:p w:rsidR="004C4BE2" w:rsidRPr="006B4966" w:rsidRDefault="004C4BE2" w:rsidP="002C605C">
            <w:pPr>
              <w:pStyle w:val="WW-Standard"/>
              <w:rPr>
                <w:b/>
                <w:sz w:val="20"/>
                <w:szCs w:val="20"/>
                <w:u w:val="single"/>
              </w:rPr>
            </w:pPr>
          </w:p>
          <w:p w:rsidR="002C605C" w:rsidRDefault="006B4966" w:rsidP="002C605C">
            <w:pPr>
              <w:pStyle w:val="WW-Standard"/>
              <w:rPr>
                <w:color w:val="0070C0"/>
                <w:sz w:val="20"/>
                <w:szCs w:val="20"/>
              </w:rPr>
            </w:pPr>
            <w:r w:rsidRPr="006B4966">
              <w:rPr>
                <w:b/>
                <w:color w:val="0070C0"/>
                <w:sz w:val="20"/>
                <w:szCs w:val="20"/>
                <w:u w:val="single"/>
              </w:rPr>
              <w:t>IMPORTANT</w:t>
            </w:r>
            <w:r>
              <w:rPr>
                <w:color w:val="0070C0"/>
                <w:sz w:val="20"/>
                <w:szCs w:val="20"/>
              </w:rPr>
              <w:t xml:space="preserve"> : Réponse basée sur </w:t>
            </w:r>
            <w:r w:rsidR="00ED3B15">
              <w:rPr>
                <w:color w:val="0070C0"/>
                <w:sz w:val="20"/>
                <w:szCs w:val="20"/>
              </w:rPr>
              <w:t>l</w:t>
            </w:r>
            <w:r>
              <w:rPr>
                <w:color w:val="0070C0"/>
                <w:sz w:val="20"/>
                <w:szCs w:val="20"/>
              </w:rPr>
              <w:t>e point de vue du technicien interrogé</w:t>
            </w:r>
            <w:r w:rsidR="00ED3B15">
              <w:rPr>
                <w:color w:val="0070C0"/>
                <w:sz w:val="20"/>
                <w:szCs w:val="20"/>
              </w:rPr>
              <w:t xml:space="preserve"> qui ne prétend pas</w:t>
            </w:r>
            <w:r>
              <w:rPr>
                <w:color w:val="0070C0"/>
                <w:sz w:val="20"/>
                <w:szCs w:val="20"/>
              </w:rPr>
              <w:t xml:space="preserve"> représenter la position de la structure Bretagne Vivante. </w:t>
            </w:r>
            <w:r w:rsidR="00ED3B15">
              <w:rPr>
                <w:color w:val="0070C0"/>
                <w:sz w:val="20"/>
                <w:szCs w:val="20"/>
              </w:rPr>
              <w:t xml:space="preserve">Ces propos n’engagent donc que lui. </w:t>
            </w:r>
          </w:p>
          <w:p w:rsidR="006B4966" w:rsidRPr="006B4966" w:rsidRDefault="006B4966" w:rsidP="002C605C">
            <w:pPr>
              <w:pStyle w:val="WW-Standard"/>
              <w:rPr>
                <w:color w:val="0070C0"/>
                <w:sz w:val="20"/>
                <w:szCs w:val="20"/>
              </w:rPr>
            </w:pPr>
          </w:p>
          <w:p w:rsidR="002C605C" w:rsidRDefault="002C605C" w:rsidP="002C605C">
            <w:pPr>
              <w:pStyle w:val="WW-Standard"/>
              <w:rPr>
                <w:sz w:val="20"/>
                <w:szCs w:val="20"/>
              </w:rPr>
            </w:pPr>
          </w:p>
          <w:p w:rsidR="00CD4550" w:rsidRDefault="006B4966" w:rsidP="002C605C">
            <w:pPr>
              <w:pStyle w:val="WW-Standard"/>
              <w:rPr>
                <w:color w:val="0070C0"/>
                <w:sz w:val="20"/>
                <w:szCs w:val="20"/>
              </w:rPr>
            </w:pPr>
            <w:r w:rsidRPr="006B4966">
              <w:rPr>
                <w:color w:val="0070C0"/>
                <w:sz w:val="20"/>
                <w:szCs w:val="20"/>
              </w:rPr>
              <w:t>Une structure comme Bretagne Vivante aurait toute sa place dans la réflexion</w:t>
            </w:r>
            <w:r>
              <w:rPr>
                <w:color w:val="0070C0"/>
                <w:sz w:val="20"/>
                <w:szCs w:val="20"/>
              </w:rPr>
              <w:t xml:space="preserve"> sur la définition des méthodes d’évaluation de biodiversité</w:t>
            </w:r>
            <w:r w:rsidR="00BD57B3">
              <w:rPr>
                <w:color w:val="0070C0"/>
                <w:sz w:val="20"/>
                <w:szCs w:val="20"/>
              </w:rPr>
              <w:t xml:space="preserve"> mais une place construite et intégrée qui va au-delà d’une simple « bonne conscience égologique ». Les méthodes choisies doivent</w:t>
            </w:r>
            <w:r w:rsidR="00ED3B15">
              <w:rPr>
                <w:color w:val="0070C0"/>
                <w:sz w:val="20"/>
                <w:szCs w:val="20"/>
              </w:rPr>
              <w:t xml:space="preserve"> permettre d’</w:t>
            </w:r>
            <w:r w:rsidR="004C18B3">
              <w:rPr>
                <w:color w:val="0070C0"/>
                <w:sz w:val="20"/>
                <w:szCs w:val="20"/>
              </w:rPr>
              <w:t>obtenir des résultats d’évaluation qui soient applicables et opposables</w:t>
            </w:r>
            <w:r w:rsidR="00BD57B3">
              <w:rPr>
                <w:color w:val="0070C0"/>
                <w:sz w:val="20"/>
                <w:szCs w:val="20"/>
              </w:rPr>
              <w:t xml:space="preserve"> si nécessaire</w:t>
            </w:r>
            <w:r w:rsidR="004C18B3">
              <w:rPr>
                <w:color w:val="0070C0"/>
                <w:sz w:val="20"/>
                <w:szCs w:val="20"/>
              </w:rPr>
              <w:t xml:space="preserve">. Une option </w:t>
            </w:r>
            <w:r w:rsidR="00BD57B3">
              <w:rPr>
                <w:color w:val="0070C0"/>
                <w:sz w:val="20"/>
                <w:szCs w:val="20"/>
              </w:rPr>
              <w:t xml:space="preserve">efficace </w:t>
            </w:r>
            <w:r w:rsidR="004C18B3">
              <w:rPr>
                <w:color w:val="0070C0"/>
                <w:sz w:val="20"/>
                <w:szCs w:val="20"/>
              </w:rPr>
              <w:t xml:space="preserve">pourrait </w:t>
            </w:r>
            <w:r w:rsidR="00BD57B3">
              <w:rPr>
                <w:color w:val="0070C0"/>
                <w:sz w:val="20"/>
                <w:szCs w:val="20"/>
              </w:rPr>
              <w:t>consister à mettre en place une loi</w:t>
            </w:r>
            <w:r w:rsidR="00ED3B15">
              <w:rPr>
                <w:color w:val="0070C0"/>
                <w:sz w:val="20"/>
                <w:szCs w:val="20"/>
              </w:rPr>
              <w:t xml:space="preserve"> prenant en compte les enjeux de biodiversité de manière plus poussée.</w:t>
            </w:r>
          </w:p>
          <w:p w:rsidR="004C18B3" w:rsidRDefault="004C18B3" w:rsidP="002C605C">
            <w:pPr>
              <w:pStyle w:val="WW-Standard"/>
              <w:rPr>
                <w:color w:val="0070C0"/>
                <w:sz w:val="20"/>
                <w:szCs w:val="20"/>
              </w:rPr>
            </w:pPr>
          </w:p>
          <w:p w:rsidR="004C18B3" w:rsidRDefault="004C18B3" w:rsidP="002C605C">
            <w:pPr>
              <w:pStyle w:val="WW-Standard"/>
              <w:rPr>
                <w:color w:val="0070C0"/>
                <w:sz w:val="20"/>
                <w:szCs w:val="20"/>
              </w:rPr>
            </w:pPr>
          </w:p>
          <w:p w:rsidR="004C4BE2" w:rsidRPr="00ED3B15" w:rsidRDefault="004C18B3" w:rsidP="002C605C">
            <w:pPr>
              <w:pStyle w:val="WW-Standard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>Réflexion aussi sur la possibilité de considérer les projets éoliens comme des moyens de protéger certains milieux naturels en y interdisant quasiment l’accès et donc</w:t>
            </w:r>
            <w:r w:rsidR="00BD57B3">
              <w:rPr>
                <w:color w:val="0070C0"/>
                <w:sz w:val="20"/>
                <w:szCs w:val="20"/>
              </w:rPr>
              <w:t xml:space="preserve"> les</w:t>
            </w:r>
            <w:r>
              <w:rPr>
                <w:color w:val="0070C0"/>
                <w:sz w:val="20"/>
                <w:szCs w:val="20"/>
              </w:rPr>
              <w:t xml:space="preserve"> préserver d’une certaine manière mais cette approche reste très délicate car </w:t>
            </w:r>
            <w:r w:rsidR="00BD57B3">
              <w:rPr>
                <w:color w:val="0070C0"/>
                <w:sz w:val="20"/>
                <w:szCs w:val="20"/>
              </w:rPr>
              <w:t>elle met</w:t>
            </w:r>
            <w:r>
              <w:rPr>
                <w:color w:val="0070C0"/>
                <w:sz w:val="20"/>
                <w:szCs w:val="20"/>
              </w:rPr>
              <w:t xml:space="preserve"> les valeurs économiques </w:t>
            </w:r>
            <w:r w:rsidR="00BD57B3">
              <w:rPr>
                <w:color w:val="0070C0"/>
                <w:sz w:val="20"/>
                <w:szCs w:val="20"/>
              </w:rPr>
              <w:t xml:space="preserve">au centre et peut être discutable sur les questions de préservation. </w:t>
            </w:r>
            <w:bookmarkStart w:id="0" w:name="_GoBack"/>
            <w:bookmarkEnd w:id="0"/>
          </w:p>
        </w:tc>
      </w:tr>
    </w:tbl>
    <w:p w:rsidR="004C4BE2" w:rsidRDefault="004C4BE2"/>
    <w:sectPr w:rsidR="004C4BE2" w:rsidSect="00113808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35C86"/>
    <w:multiLevelType w:val="hybridMultilevel"/>
    <w:tmpl w:val="86283356"/>
    <w:lvl w:ilvl="0" w:tplc="FA229E8A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2608DC"/>
    <w:multiLevelType w:val="hybridMultilevel"/>
    <w:tmpl w:val="39E8CFA2"/>
    <w:lvl w:ilvl="0" w:tplc="75A237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53F4B"/>
    <w:multiLevelType w:val="hybridMultilevel"/>
    <w:tmpl w:val="B628D418"/>
    <w:lvl w:ilvl="0" w:tplc="CA5837F6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D5609"/>
    <w:multiLevelType w:val="hybridMultilevel"/>
    <w:tmpl w:val="B9663322"/>
    <w:lvl w:ilvl="0" w:tplc="CA5837F6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12FA3"/>
    <w:multiLevelType w:val="hybridMultilevel"/>
    <w:tmpl w:val="874E41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208E8"/>
    <w:multiLevelType w:val="hybridMultilevel"/>
    <w:tmpl w:val="1BC0F69C"/>
    <w:lvl w:ilvl="0" w:tplc="2168ED60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  <w:color w:val="44546A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E24DBB"/>
    <w:multiLevelType w:val="hybridMultilevel"/>
    <w:tmpl w:val="3E408A44"/>
    <w:lvl w:ilvl="0" w:tplc="B63EEB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7CE"/>
    <w:rsid w:val="00003AB1"/>
    <w:rsid w:val="0006454A"/>
    <w:rsid w:val="000664CA"/>
    <w:rsid w:val="000F1CAE"/>
    <w:rsid w:val="000F21A2"/>
    <w:rsid w:val="00113808"/>
    <w:rsid w:val="00126A9E"/>
    <w:rsid w:val="001858C7"/>
    <w:rsid w:val="001A2C19"/>
    <w:rsid w:val="00241B3A"/>
    <w:rsid w:val="002764F7"/>
    <w:rsid w:val="002C605C"/>
    <w:rsid w:val="002D1704"/>
    <w:rsid w:val="002F251E"/>
    <w:rsid w:val="00334BD7"/>
    <w:rsid w:val="00393D01"/>
    <w:rsid w:val="003B2577"/>
    <w:rsid w:val="00404A94"/>
    <w:rsid w:val="0046750E"/>
    <w:rsid w:val="004C18B3"/>
    <w:rsid w:val="004C4BE2"/>
    <w:rsid w:val="004C7549"/>
    <w:rsid w:val="00534396"/>
    <w:rsid w:val="00567446"/>
    <w:rsid w:val="00584558"/>
    <w:rsid w:val="005D4267"/>
    <w:rsid w:val="006160B1"/>
    <w:rsid w:val="00652FA7"/>
    <w:rsid w:val="0067337C"/>
    <w:rsid w:val="006B4966"/>
    <w:rsid w:val="007D31FC"/>
    <w:rsid w:val="007D5CDF"/>
    <w:rsid w:val="007F031D"/>
    <w:rsid w:val="0085372B"/>
    <w:rsid w:val="00886F7F"/>
    <w:rsid w:val="008C6D6B"/>
    <w:rsid w:val="00975DDF"/>
    <w:rsid w:val="009A375F"/>
    <w:rsid w:val="009E382C"/>
    <w:rsid w:val="00A0168B"/>
    <w:rsid w:val="00A65547"/>
    <w:rsid w:val="00AE0497"/>
    <w:rsid w:val="00B451FF"/>
    <w:rsid w:val="00BB54B7"/>
    <w:rsid w:val="00BD57B3"/>
    <w:rsid w:val="00BF7775"/>
    <w:rsid w:val="00C06E33"/>
    <w:rsid w:val="00C0763B"/>
    <w:rsid w:val="00CB37CE"/>
    <w:rsid w:val="00CD4550"/>
    <w:rsid w:val="00CE68E3"/>
    <w:rsid w:val="00D00F32"/>
    <w:rsid w:val="00D65641"/>
    <w:rsid w:val="00DA53C3"/>
    <w:rsid w:val="00E64632"/>
    <w:rsid w:val="00E87CF1"/>
    <w:rsid w:val="00ED3B15"/>
    <w:rsid w:val="00ED405B"/>
    <w:rsid w:val="00F23646"/>
    <w:rsid w:val="00F4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6035E2-953D-4B6B-B6B5-372CD4718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CB3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Standard">
    <w:name w:val="WW-Standard"/>
    <w:basedOn w:val="Normal"/>
    <w:uiPriority w:val="99"/>
    <w:rsid w:val="00CB37CE"/>
    <w:pPr>
      <w:autoSpaceDN w:val="0"/>
      <w:spacing w:after="0" w:line="240" w:lineRule="auto"/>
      <w:jc w:val="both"/>
    </w:pPr>
    <w:rPr>
      <w:rFonts w:ascii="Arial" w:hAnsi="Arial" w:cs="Arial"/>
      <w:color w:val="00000A"/>
      <w:lang w:eastAsia="zh-CN"/>
    </w:rPr>
  </w:style>
  <w:style w:type="character" w:styleId="Lienhypertexte">
    <w:name w:val="Hyperlink"/>
    <w:basedOn w:val="Policepardfaut"/>
    <w:uiPriority w:val="99"/>
    <w:unhideWhenUsed/>
    <w:rsid w:val="00AE0497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E04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0497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534396"/>
    <w:pPr>
      <w:ind w:left="720"/>
      <w:contextualSpacing/>
    </w:pPr>
  </w:style>
  <w:style w:type="paragraph" w:customStyle="1" w:styleId="Standard">
    <w:name w:val="Standard"/>
    <w:uiPriority w:val="99"/>
    <w:rsid w:val="00D6564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792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couetil</dc:creator>
  <cp:keywords/>
  <dc:description/>
  <cp:lastModifiedBy>Caroline François</cp:lastModifiedBy>
  <cp:revision>7</cp:revision>
  <dcterms:created xsi:type="dcterms:W3CDTF">2017-06-09T12:12:00Z</dcterms:created>
  <dcterms:modified xsi:type="dcterms:W3CDTF">2017-06-13T14:48:00Z</dcterms:modified>
</cp:coreProperties>
</file>